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B226" w14:textId="77777777" w:rsidR="00CA20C6" w:rsidRDefault="00000000">
      <w:pPr>
        <w:spacing w:after="40"/>
        <w:jc w:val="center"/>
      </w:pPr>
      <w:r>
        <w:rPr>
          <w:b/>
          <w:bCs/>
          <w:color w:val="1F3864"/>
          <w:sz w:val="28"/>
          <w:szCs w:val="28"/>
        </w:rPr>
        <w:t>REPARATIVE GENEALOGY INSTITUTE</w:t>
      </w:r>
    </w:p>
    <w:p w14:paraId="3968594F" w14:textId="77777777" w:rsidR="00CA20C6" w:rsidRDefault="00000000">
      <w:pPr>
        <w:spacing w:after="60"/>
        <w:jc w:val="center"/>
      </w:pPr>
      <w:r>
        <w:rPr>
          <w:i/>
          <w:iCs/>
          <w:sz w:val="18"/>
          <w:szCs w:val="18"/>
        </w:rPr>
        <w:t xml:space="preserve">A fiscally sponsored project of Project </w:t>
      </w:r>
      <w:proofErr w:type="spellStart"/>
      <w:r>
        <w:rPr>
          <w:i/>
          <w:iCs/>
          <w:sz w:val="18"/>
          <w:szCs w:val="18"/>
        </w:rPr>
        <w:t>WellSpring</w:t>
      </w:r>
      <w:proofErr w:type="spellEnd"/>
    </w:p>
    <w:p w14:paraId="73370F0D" w14:textId="77777777" w:rsidR="00CA20C6" w:rsidRDefault="00CA20C6">
      <w:pPr>
        <w:pBdr>
          <w:bottom w:val="single" w:sz="6" w:space="0" w:color="1F3864"/>
        </w:pBdr>
        <w:spacing w:after="280"/>
      </w:pPr>
    </w:p>
    <w:p w14:paraId="22496062" w14:textId="77777777" w:rsidR="00CA20C6" w:rsidRDefault="00000000">
      <w:pPr>
        <w:spacing w:after="120" w:line="276" w:lineRule="auto"/>
      </w:pPr>
      <w:r>
        <w:t>9 July 2026</w:t>
      </w:r>
    </w:p>
    <w:p w14:paraId="74035069" w14:textId="77777777" w:rsidR="00CA20C6" w:rsidRDefault="00000000">
      <w:pPr>
        <w:spacing w:after="280" w:line="276" w:lineRule="auto"/>
      </w:pPr>
      <w:r>
        <w:rPr>
          <w:b/>
          <w:bCs/>
        </w:rPr>
        <w:t>Re: Fortune Stewart (c. 1808-1888), Grant County, West Virginia. Assessment of origins: documentary record, family tradition, and DNA evidence.</w:t>
      </w:r>
    </w:p>
    <w:p w14:paraId="3E30D0EB" w14:textId="0DDE8818" w:rsidR="00CA20C6" w:rsidRDefault="00000000">
      <w:pPr>
        <w:spacing w:after="240" w:line="276" w:lineRule="auto"/>
      </w:pPr>
      <w:r>
        <w:t xml:space="preserve">Dear </w:t>
      </w:r>
      <w:r w:rsidR="00FE437D">
        <w:t>Jerrie,</w:t>
      </w:r>
    </w:p>
    <w:p w14:paraId="71CB9C1D" w14:textId="77777777" w:rsidR="00CA20C6" w:rsidRDefault="00000000">
      <w:pPr>
        <w:spacing w:after="200" w:line="276" w:lineRule="auto"/>
      </w:pPr>
      <w:r>
        <w:t xml:space="preserve">Thank you for entrusting me with the question at the heart of your family’s story: whether your great-grandfather Fortune Stewart was, as tradition holds, a free man of color born in Cuba who chose Grant County, West Virginia as his home after the Civil War. I have now examined this tradition against three independent classes of evidence: the documentary record of Fortune’s own life, a national survey of every Black resident recorded in United States census and vital records as born in Cuba between roughly 1800 and 1820, and the DNA evidence from your brother’s test results and your family’s matches. This letter explains what each class of evidence shows, where they agree, where they conflict, and what I believe is the most probable truth. I want to say at the outset that the answer is more layered, and I think ultimately more </w:t>
      </w:r>
      <w:proofErr w:type="gramStart"/>
      <w:r>
        <w:t>meaningful,</w:t>
      </w:r>
      <w:proofErr w:type="gramEnd"/>
      <w:r>
        <w:t xml:space="preserve"> than either simple confirmation or simple debunking.</w:t>
      </w:r>
    </w:p>
    <w:p w14:paraId="2B30EF16" w14:textId="77777777" w:rsidR="00CA20C6" w:rsidRDefault="00000000">
      <w:pPr>
        <w:pStyle w:val="Heading1"/>
        <w:spacing w:before="320" w:after="160"/>
      </w:pPr>
      <w:r>
        <w:rPr>
          <w:b/>
          <w:bCs/>
          <w:color w:val="1F3864"/>
          <w:sz w:val="26"/>
          <w:szCs w:val="26"/>
        </w:rPr>
        <w:t>What the documentary record establishes</w:t>
      </w:r>
    </w:p>
    <w:p w14:paraId="0F50DDDC" w14:textId="77777777" w:rsidR="00CA20C6" w:rsidRDefault="00000000">
      <w:pPr>
        <w:spacing w:after="200" w:line="276" w:lineRule="auto"/>
      </w:pPr>
      <w:r>
        <w:t xml:space="preserve">The records of Fortune’s own lifetime are consistent and, on one point, decisive. Deed records name him as an enslaved man. He does not appear in any census, court, or tax record as a free person until 1866, immediately after emancipation reached the South Branch Valley. His marriage to Rebecca Payne, herself born enslaved in Hardy County, was formalized </w:t>
      </w:r>
      <w:proofErr w:type="gramStart"/>
      <w:r>
        <w:t>at the moment</w:t>
      </w:r>
      <w:proofErr w:type="gramEnd"/>
      <w:r>
        <w:t xml:space="preserve"> emancipation made it legally possible. Under Virginia law before the war, a free person of color could not lawfully remain in the state after manumission, could not lawfully immigrate into the state, and could not lawfully marry an enslaved person without severe penalty. Every record and every legal circumstance of his life places Fortune within the locally enslaved population of Hardy County, the county from which Grant County was formed in 1866.</w:t>
      </w:r>
    </w:p>
    <w:p w14:paraId="2C5C039C" w14:textId="77777777" w:rsidR="00CA20C6" w:rsidRDefault="00000000">
      <w:pPr>
        <w:spacing w:after="200" w:line="276" w:lineRule="auto"/>
      </w:pPr>
      <w:r>
        <w:t xml:space="preserve">On the standard my field uses, the Genealogical Proof Standard, this element of the question is resolved: </w:t>
      </w:r>
      <w:r>
        <w:rPr>
          <w:b/>
          <w:bCs/>
        </w:rPr>
        <w:t>Fortune Stewart was enslaved in Virginia before the Civil War, and the tradition that he lived as a free man of color before 1865 cannot stand.</w:t>
      </w:r>
    </w:p>
    <w:p w14:paraId="61034479" w14:textId="77777777" w:rsidR="00CA20C6" w:rsidRDefault="00000000">
      <w:pPr>
        <w:pStyle w:val="Heading1"/>
        <w:spacing w:before="320" w:after="160"/>
      </w:pPr>
      <w:r>
        <w:rPr>
          <w:b/>
          <w:bCs/>
          <w:color w:val="1F3864"/>
          <w:sz w:val="26"/>
          <w:szCs w:val="26"/>
        </w:rPr>
        <w:t>Testing the tradition against every Cuban-born Black resident in the records</w:t>
      </w:r>
    </w:p>
    <w:p w14:paraId="5566B6C3" w14:textId="77777777" w:rsidR="00CA20C6" w:rsidRDefault="00000000">
      <w:pPr>
        <w:spacing w:after="200" w:line="276" w:lineRule="auto"/>
      </w:pPr>
      <w:r>
        <w:t xml:space="preserve">To test the tradition </w:t>
      </w:r>
      <w:proofErr w:type="gramStart"/>
      <w:r>
        <w:t>fairly rather</w:t>
      </w:r>
      <w:proofErr w:type="gramEnd"/>
      <w:r>
        <w:t xml:space="preserve"> than dismiss it, I searched United States census and vital records nationwide for Black residents recorded as born in Cuba between about 1800 and 1820, the range that brackets Fortune’s birth. The survey produced 123 record entries, coded individually in Appendix A. Their geography tells a clear story.</w:t>
      </w:r>
    </w:p>
    <w:p w14:paraId="607E4AC1" w14:textId="77777777" w:rsidR="00CA20C6" w:rsidRDefault="00000000">
      <w:pPr>
        <w:spacing w:after="200" w:line="276" w:lineRule="auto"/>
      </w:pPr>
      <w:r>
        <w:lastRenderedPageBreak/>
        <w:t>The records cluster in exactly four kinds of places. First, the Creole wards of New Orleans, home of the community formed when Spain expelled the Haitian Revolution refugees from Cuba in 1809, a fleet that carried roughly three thousand free people of color and three thousand enslaved people into that one city. Second, the port cities of the Atlantic seaboard, above all New York, where free Black Cuban sailors, cooks, and stewards of the Havana trade settled out of their ships; Philadelphia, Rhode Island, Connecticut, and even gold-rush San Francisco show the same maritime pattern. Third, the rural plantation districts of Louisiana, Georgia, Mississippi, and Florida, where the entries pattern not as free settlers but as people brought in enslaved, through the illegal slave trade that continued after the 1808 federal ban, most infamously through the smuggling stations at Amelia Island and at Jean Lafitte’s Galveston, and through the domestic slave trade that followed. Fourth, the cigar towns of Key West and later Tampa, where free Cubans arrived from the 1860s through the 1880s, fleeing the Ten Years’ War; where these individuals reported their year of arrival, the years are 1860, 1870, 1875, 1877, and 1885.</w:t>
      </w:r>
    </w:p>
    <w:p w14:paraId="6806A7E0" w14:textId="77777777" w:rsidR="00CA20C6" w:rsidRDefault="00000000">
      <w:pPr>
        <w:spacing w:after="200" w:line="276" w:lineRule="auto"/>
      </w:pPr>
      <w:r>
        <w:t xml:space="preserve">Here is the finding that matters most for your family’s question: </w:t>
      </w:r>
      <w:r>
        <w:rPr>
          <w:b/>
          <w:bCs/>
        </w:rPr>
        <w:t>among all 123 entries, not one Cuban-born Black resident appears in West Virginia, the Valley of Virginia, or anywhere in the Appalachian interior, at any date.</w:t>
      </w:r>
      <w:r>
        <w:t xml:space="preserve"> The handful of interior appearances are isolated individuals in Ohio, Arkansas, and northern Pennsylvania, none of them in the rural Upper South. The confirmed free people in this survey, those enumerated free in 1850 and 1860 or who reported free arrivals, lived exclusively in ports and in the New Orleans Creole community. This is not an accident of the records. Free people of color from the Caribbean needed what ports provided: work, Catholic parishes, Spanish- and French-speaking neighbors, and relative legal safety. Virginia offered none of these, and its laws made free Black residence itself a crime. The tradition that Grant County was chosen because it was less racially hostile than surrounding areas inverts the historical reality; the Black families of postwar Grant and Hardy counties were overwhelmingly the locally emancipated population, staying near kin, churches, and known employers because </w:t>
      </w:r>
      <w:proofErr w:type="gramStart"/>
      <w:r>
        <w:t>leaving</w:t>
      </w:r>
      <w:proofErr w:type="gramEnd"/>
      <w:r>
        <w:t xml:space="preserve"> with nothing was harder than staying.</w:t>
      </w:r>
    </w:p>
    <w:p w14:paraId="62632D71" w14:textId="77777777" w:rsidR="00CA20C6" w:rsidRDefault="00000000">
      <w:pPr>
        <w:pStyle w:val="Heading1"/>
        <w:spacing w:before="320" w:after="160"/>
      </w:pPr>
      <w:r>
        <w:rPr>
          <w:b/>
          <w:bCs/>
          <w:color w:val="1F3864"/>
          <w:sz w:val="26"/>
          <w:szCs w:val="26"/>
        </w:rPr>
        <w:t>What the DNA establishes</w:t>
      </w:r>
    </w:p>
    <w:p w14:paraId="11D32590" w14:textId="77777777" w:rsidR="00CA20C6" w:rsidRDefault="00000000">
      <w:pPr>
        <w:spacing w:after="200" w:line="276" w:lineRule="auto"/>
      </w:pPr>
      <w:r>
        <w:t>If the story ended there, I would be writing to tell you the Cuba tradition was invented. It did not end there, because your family’s DNA would not permit that conclusion.</w:t>
      </w:r>
    </w:p>
    <w:p w14:paraId="6C54D329" w14:textId="77777777" w:rsidR="00CA20C6" w:rsidRDefault="00000000">
      <w:pPr>
        <w:spacing w:after="200" w:line="276" w:lineRule="auto"/>
      </w:pPr>
      <w:r>
        <w:t xml:space="preserve">Two findings matter. Your brother’s paternal haplogroup has roots traced through Cuba and the Caribbean. On its own, a haplogroup is suggestive rather than conclusive, because the same deep African paternal lines appear across the whole diaspora, in Cuba, in Brazil, and in the United States alike. But the second finding is of a different order: your family has </w:t>
      </w:r>
      <w:proofErr w:type="gramStart"/>
      <w:r>
        <w:t>fourth-cousin</w:t>
      </w:r>
      <w:proofErr w:type="gramEnd"/>
      <w:r>
        <w:t>-level matches who are themselves Cuban, and those matches triangulate, meaning they share the same overlapping segments of DNA with you and with relatives descended through several different branches of the family that all converge on Fortune Stewart. Fourth cousins ordinarily share a set of third-great-grandparents. For your generation, that places the shared ancestor in roughly Fortune’s own generation, or one generation above him. In plain terms: the genetic evidence independently confirms a real Cuban connection in your family, and it localizes that connection to Fortune himself or to his immediate family.</w:t>
      </w:r>
    </w:p>
    <w:p w14:paraId="0D35C189" w14:textId="77777777" w:rsidR="00CA20C6" w:rsidRDefault="00000000">
      <w:pPr>
        <w:spacing w:after="200" w:line="276" w:lineRule="auto"/>
      </w:pPr>
      <w:r>
        <w:lastRenderedPageBreak/>
        <w:t>The family did not invent Cuba. The DNA proves the connection is real. What the tradition got wrong is not the place; it is the status.</w:t>
      </w:r>
    </w:p>
    <w:p w14:paraId="624E5F23" w14:textId="77777777" w:rsidR="00CA20C6" w:rsidRDefault="00000000">
      <w:pPr>
        <w:pStyle w:val="Heading1"/>
        <w:spacing w:before="320" w:after="160"/>
      </w:pPr>
      <w:r>
        <w:rPr>
          <w:b/>
          <w:bCs/>
          <w:color w:val="1F3864"/>
          <w:sz w:val="26"/>
          <w:szCs w:val="26"/>
        </w:rPr>
        <w:t>Reconciling the record, the tradition, and the DNA</w:t>
      </w:r>
    </w:p>
    <w:p w14:paraId="73A4AEA8" w14:textId="77777777" w:rsidR="00CA20C6" w:rsidRDefault="00000000">
      <w:pPr>
        <w:spacing w:after="200" w:line="276" w:lineRule="auto"/>
      </w:pPr>
      <w:r>
        <w:t>Family traditions in African American genealogy very often work in a particular way: they preserve a true core and wrap it in a protective layer. In the Jim Crow decades, when the stigma attached to having been enslaved was heavy and dangerous, presenting the family patriarch as a free-born foreigner conferred dignity and a measure of social protection on his children and grandchildren. I would describe your tradition as true in the noun and protective in the adjective. Cuba was real. “Free” was armor.</w:t>
      </w:r>
    </w:p>
    <w:p w14:paraId="0FCD6748" w14:textId="77777777" w:rsidR="00CA20C6" w:rsidRDefault="00000000">
      <w:pPr>
        <w:spacing w:after="200" w:line="276" w:lineRule="auto"/>
      </w:pPr>
      <w:r>
        <w:t xml:space="preserve">Two scenarios can reconcile </w:t>
      </w:r>
      <w:proofErr w:type="gramStart"/>
      <w:r>
        <w:t>all of</w:t>
      </w:r>
      <w:proofErr w:type="gramEnd"/>
      <w:r>
        <w:t xml:space="preserve"> the evidence, and I present them in the order of my current assessment.</w:t>
      </w:r>
    </w:p>
    <w:p w14:paraId="55FFFF8F" w14:textId="77777777" w:rsidR="00CA20C6" w:rsidRDefault="00000000">
      <w:pPr>
        <w:spacing w:after="200" w:line="276" w:lineRule="auto"/>
      </w:pPr>
      <w:r>
        <w:rPr>
          <w:b/>
          <w:bCs/>
        </w:rPr>
        <w:t>The scenario I find most probable: Fortune was born in Virginia to a Cuban-born or Caribbean-born enslaved parent.</w:t>
      </w:r>
      <w:r>
        <w:t xml:space="preserve"> Virginia received Caribbean-held enslaved people through channels that predate Fortune’s birth, including the refugee arrivals of the 1790s; a fleet from Saint-Domingue reached Norfolk in July 1793, and some refugees’ enslaved people were subsequently sold into the Virginia interior. A Cuban-born mother or father held in Hardy County would explain every piece of evidence with the least strain: census and death records that truthfully record Fortune’s birthplace as Virginia; deeds that show him enslaved; DNA segments matching Cuban cousins at exactly the observed genetic distance; and a family memory of Cuba that, across four generations of retelling, attached itself to the patriarch everyone remembered rather than to the parent no one did. Oral tradition compresses generations constantly; it is one of the most common and best-documented distortions in family memory.</w:t>
      </w:r>
    </w:p>
    <w:p w14:paraId="58FBF8F3" w14:textId="77777777" w:rsidR="00CA20C6" w:rsidRDefault="00000000">
      <w:pPr>
        <w:spacing w:after="200" w:line="276" w:lineRule="auto"/>
      </w:pPr>
      <w:r>
        <w:rPr>
          <w:b/>
          <w:bCs/>
        </w:rPr>
        <w:t>The second scenario, fully possible: Fortune was himself born in Cuba around 1808 and trafficked into the United States as a child.</w:t>
      </w:r>
      <w:r>
        <w:t xml:space="preserve"> The illegal slave trade after the 1808 ban was real and substantial, and smugglers preferred children and adolescents precisely because they could be concealed and passed off as domestically born. A boy born in Cuba around 1808 would have been nine to twelve years old at the height of the Amelia Island smuggling operation. A child brought in this way, sold through the domestic trade, and raised enslaved in Virginia would appear in every later record with a Virginia birthplace, because that is what his enslavers reported and possibly all he himself was ever told. The main reason I rank this scenario second is directional: after 1808 the Upper South exported enslaved people southward far more than it imported them, so a smuggled Cuban child ending up in the South Branch Valley would have traveled against the prevailing current. Against, but not </w:t>
      </w:r>
      <w:proofErr w:type="gramStart"/>
      <w:r>
        <w:t>impossibly</w:t>
      </w:r>
      <w:proofErr w:type="gramEnd"/>
      <w:r>
        <w:t xml:space="preserve"> against; Valley farmers did buy at the Richmond, Alexandria, and Winchester markets.</w:t>
      </w:r>
    </w:p>
    <w:p w14:paraId="558A609C" w14:textId="77777777" w:rsidR="00CA20C6" w:rsidRDefault="00000000">
      <w:pPr>
        <w:spacing w:after="200" w:line="276" w:lineRule="auto"/>
      </w:pPr>
      <w:r>
        <w:t>For completeness, I will also note a third reading that the DNA alone cannot exclude: triangulation proves shared ancestry with your Cuban cousins, but not the direction of movement. A sibling or child of Fortune’s family sold or carried to Cuba would produce the same matches, because the illegal trade ran in both directions. The segment work described below can distinguish this reading from the others.</w:t>
      </w:r>
    </w:p>
    <w:p w14:paraId="38A934D0" w14:textId="77777777" w:rsidR="00CA20C6" w:rsidRDefault="00000000">
      <w:pPr>
        <w:pStyle w:val="Heading1"/>
        <w:spacing w:before="320" w:after="160"/>
      </w:pPr>
      <w:r>
        <w:rPr>
          <w:b/>
          <w:bCs/>
          <w:color w:val="1F3864"/>
          <w:sz w:val="26"/>
          <w:szCs w:val="26"/>
        </w:rPr>
        <w:lastRenderedPageBreak/>
        <w:t>My assessment</w:t>
      </w:r>
    </w:p>
    <w:p w14:paraId="4E5BD7DE" w14:textId="77777777" w:rsidR="00CA20C6" w:rsidRDefault="00000000">
      <w:pPr>
        <w:spacing w:after="200" w:line="276" w:lineRule="auto"/>
      </w:pPr>
      <w:r>
        <w:t>Proven: Fortune Stewart lived enslaved in Hardy County, Virginia, gained his freedom with emancipation, married Rebecca Payne, and raised his family in the Grant County area where he died on 1 August 1888. Disproven: that he lived in the antebellum United States as a free man of color, and that Grant County was chosen for its racial climate. Independently confirmed: a genuine Cuban connection in his immediate family line, established by triangulated DNA. Most probable explanation: the Cuban origin belongs to Fortune’s own stolen early childhood or, more likely still, to a parent, carried into Virginia through the Caribbean refugee diaspora or the illegal trade, with the family memory preserving the true origin while adding the protective status the times demanded.</w:t>
      </w:r>
    </w:p>
    <w:p w14:paraId="3475445A" w14:textId="77777777" w:rsidR="00CA20C6" w:rsidRDefault="00000000">
      <w:pPr>
        <w:spacing w:after="200" w:line="276" w:lineRule="auto"/>
      </w:pPr>
      <w:r>
        <w:t xml:space="preserve">I want to name what this means. Your family’s tradition is not a myth to be discarded. It is a compressed, defended version of </w:t>
      </w:r>
      <w:proofErr w:type="gramStart"/>
      <w:r>
        <w:t>a real</w:t>
      </w:r>
      <w:proofErr w:type="gramEnd"/>
      <w:r>
        <w:t xml:space="preserve"> history, kept alive across a century and a half under conditions designed to erase it. The record takes away the word “free” and gives you back something rarer: corroboration, in your family’s own blood, of a Caribbean origin that almost no descendant of American slavery can document. That is a recovery, not a loss.</w:t>
      </w:r>
    </w:p>
    <w:p w14:paraId="11CC0F55" w14:textId="77777777" w:rsidR="00CA20C6" w:rsidRDefault="00000000">
      <w:pPr>
        <w:pStyle w:val="Heading1"/>
        <w:spacing w:before="320" w:after="160"/>
      </w:pPr>
      <w:r>
        <w:rPr>
          <w:b/>
          <w:bCs/>
          <w:color w:val="1F3864"/>
          <w:sz w:val="26"/>
          <w:szCs w:val="26"/>
        </w:rPr>
        <w:t>Recommended next steps</w:t>
      </w:r>
    </w:p>
    <w:p w14:paraId="5C74F32A" w14:textId="77777777" w:rsidR="00CA20C6" w:rsidRDefault="00000000">
      <w:pPr>
        <w:spacing w:after="160" w:line="276" w:lineRule="auto"/>
      </w:pPr>
      <w:r>
        <w:t>The following research can move the most probable scenario toward a proven conclusion under the Genealogical Proof Standard.</w:t>
      </w:r>
    </w:p>
    <w:p w14:paraId="0DA17072" w14:textId="77777777" w:rsidR="00CA20C6" w:rsidRDefault="00000000">
      <w:pPr>
        <w:pStyle w:val="ListParagraph"/>
        <w:numPr>
          <w:ilvl w:val="0"/>
          <w:numId w:val="2"/>
        </w:numPr>
        <w:spacing w:after="140" w:line="276" w:lineRule="auto"/>
      </w:pPr>
      <w:r>
        <w:t xml:space="preserve">Chain the deeds. Reconstruct the full chain of </w:t>
      </w:r>
      <w:proofErr w:type="gramStart"/>
      <w:r>
        <w:t>title</w:t>
      </w:r>
      <w:proofErr w:type="gramEnd"/>
      <w:r>
        <w:t xml:space="preserve"> on Fortune through the Hardy County deed books and chancery causes. A purchase from a Tidewater or Norfolk-connected seller or from a trader would favor an importation scenario; unbroken presence in one family’s inventories reaching back before about 1808 would strongly favor a Virginia birth to a Caribbean-born parent.</w:t>
      </w:r>
    </w:p>
    <w:p w14:paraId="05638542" w14:textId="77777777" w:rsidR="00CA20C6" w:rsidRDefault="00000000">
      <w:pPr>
        <w:pStyle w:val="ListParagraph"/>
        <w:numPr>
          <w:ilvl w:val="0"/>
          <w:numId w:val="2"/>
        </w:numPr>
        <w:spacing w:after="140" w:line="276" w:lineRule="auto"/>
      </w:pPr>
      <w:r>
        <w:t xml:space="preserve">Search for Fortune’s mother. Estate inventories, wills, and birth registers of the enslaving family may name her. A woman with a Spanish or French </w:t>
      </w:r>
      <w:proofErr w:type="gramStart"/>
      <w:r>
        <w:t>name, or</w:t>
      </w:r>
      <w:proofErr w:type="gramEnd"/>
      <w:r>
        <w:t xml:space="preserve"> annotated “West India” or “Spanish negro,” phrases that do appear in Virginia records, would be close to decisive.</w:t>
      </w:r>
    </w:p>
    <w:p w14:paraId="55FBDF29" w14:textId="77777777" w:rsidR="00CA20C6" w:rsidRDefault="00000000">
      <w:pPr>
        <w:pStyle w:val="ListParagraph"/>
        <w:numPr>
          <w:ilvl w:val="0"/>
          <w:numId w:val="2"/>
        </w:numPr>
        <w:spacing w:after="140" w:line="276" w:lineRule="auto"/>
      </w:pPr>
      <w:r>
        <w:t>Locate the 1866 cohabitation register entry for Fortune and Rebecca in Hardy or Grant County. These registers sometimes record birthplaces and former enslavers in the couple’s own words, the nearest thing to Fortune’s self-report we are likely to find.</w:t>
      </w:r>
    </w:p>
    <w:p w14:paraId="3AAD0BD9" w14:textId="77777777" w:rsidR="00CA20C6" w:rsidRDefault="00000000">
      <w:pPr>
        <w:pStyle w:val="ListParagraph"/>
        <w:numPr>
          <w:ilvl w:val="0"/>
          <w:numId w:val="2"/>
        </w:numPr>
        <w:spacing w:after="140" w:line="276" w:lineRule="auto"/>
      </w:pPr>
      <w:r>
        <w:t>Map the DNA segments. Chart the triangulated segments shared with the Cuban matches, confirm they descend through multiple children of Fortune independently rather than through Rebecca Payne’s line, and estimate the shared centimorgans per match to tighten the generational placement of the common ancestor.</w:t>
      </w:r>
    </w:p>
    <w:p w14:paraId="1BAC6983" w14:textId="77777777" w:rsidR="00CA20C6" w:rsidRDefault="00000000">
      <w:pPr>
        <w:pStyle w:val="ListParagraph"/>
        <w:numPr>
          <w:ilvl w:val="0"/>
          <w:numId w:val="2"/>
        </w:numPr>
        <w:spacing w:after="140" w:line="276" w:lineRule="auto"/>
      </w:pPr>
      <w:r>
        <w:t>Pursue a full-sequence mitochondrial DNA test from a direct maternal-line descendant of Fortune’s mother’s line, if one can be identified, since a match to Cuban maternal lines would speak directly to the Caribbean-born-parent scenario.</w:t>
      </w:r>
    </w:p>
    <w:p w14:paraId="40588CB9" w14:textId="77777777" w:rsidR="00CA20C6" w:rsidRDefault="00000000">
      <w:pPr>
        <w:spacing w:after="240" w:line="276" w:lineRule="auto"/>
      </w:pPr>
      <w:r>
        <w:t xml:space="preserve">Appendix A, provided with this letter, contains the full survey of 123 Cuban-born record entries, each coded by probable entry pathway with my reasoning, so you can see exactly how the </w:t>
      </w:r>
      <w:r>
        <w:lastRenderedPageBreak/>
        <w:t>national pattern was established. I would be glad to walk through any part of this with you and your family, and to discuss which of the next steps you would like the Institute to undertake.</w:t>
      </w:r>
    </w:p>
    <w:p w14:paraId="201B6FA6" w14:textId="77777777" w:rsidR="00CA20C6" w:rsidRDefault="00000000">
      <w:pPr>
        <w:spacing w:after="320" w:line="276" w:lineRule="auto"/>
      </w:pPr>
      <w:r>
        <w:t>With respect for your family and its history,</w:t>
      </w:r>
    </w:p>
    <w:p w14:paraId="5796EFFF" w14:textId="77777777" w:rsidR="00CA20C6" w:rsidRDefault="00000000">
      <w:pPr>
        <w:spacing w:after="40" w:line="276" w:lineRule="auto"/>
      </w:pPr>
      <w:r>
        <w:rPr>
          <w:b/>
          <w:bCs/>
        </w:rPr>
        <w:t>Kellie Farrish</w:t>
      </w:r>
    </w:p>
    <w:p w14:paraId="5481E86C" w14:textId="77777777" w:rsidR="00CA20C6" w:rsidRDefault="00000000">
      <w:pPr>
        <w:spacing w:after="40" w:line="276" w:lineRule="auto"/>
      </w:pPr>
      <w:r>
        <w:t>Founder and Executive Director</w:t>
      </w:r>
    </w:p>
    <w:p w14:paraId="16BE4876" w14:textId="77777777" w:rsidR="00CA20C6" w:rsidRDefault="00000000">
      <w:pPr>
        <w:spacing w:after="40" w:line="276" w:lineRule="auto"/>
      </w:pPr>
      <w:r>
        <w:t>Reparative Genealogy Institute</w:t>
      </w:r>
    </w:p>
    <w:sectPr w:rsidR="00CA20C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6FE"/>
    <w:multiLevelType w:val="hybridMultilevel"/>
    <w:tmpl w:val="A0D0DFB4"/>
    <w:lvl w:ilvl="0" w:tplc="C15C8392">
      <w:start w:val="1"/>
      <w:numFmt w:val="bullet"/>
      <w:lvlText w:val="●"/>
      <w:lvlJc w:val="left"/>
      <w:pPr>
        <w:ind w:left="720" w:hanging="360"/>
      </w:pPr>
    </w:lvl>
    <w:lvl w:ilvl="1" w:tplc="1908BDAE">
      <w:start w:val="1"/>
      <w:numFmt w:val="bullet"/>
      <w:lvlText w:val="○"/>
      <w:lvlJc w:val="left"/>
      <w:pPr>
        <w:ind w:left="1440" w:hanging="360"/>
      </w:pPr>
    </w:lvl>
    <w:lvl w:ilvl="2" w:tplc="51407CBC">
      <w:start w:val="1"/>
      <w:numFmt w:val="bullet"/>
      <w:lvlText w:val="■"/>
      <w:lvlJc w:val="left"/>
      <w:pPr>
        <w:ind w:left="2160" w:hanging="360"/>
      </w:pPr>
    </w:lvl>
    <w:lvl w:ilvl="3" w:tplc="A40C1306">
      <w:start w:val="1"/>
      <w:numFmt w:val="bullet"/>
      <w:lvlText w:val="●"/>
      <w:lvlJc w:val="left"/>
      <w:pPr>
        <w:ind w:left="2880" w:hanging="360"/>
      </w:pPr>
    </w:lvl>
    <w:lvl w:ilvl="4" w:tplc="51FC7F6E">
      <w:start w:val="1"/>
      <w:numFmt w:val="bullet"/>
      <w:lvlText w:val="○"/>
      <w:lvlJc w:val="left"/>
      <w:pPr>
        <w:ind w:left="3600" w:hanging="360"/>
      </w:pPr>
    </w:lvl>
    <w:lvl w:ilvl="5" w:tplc="0EDEDA08">
      <w:start w:val="1"/>
      <w:numFmt w:val="bullet"/>
      <w:lvlText w:val="■"/>
      <w:lvlJc w:val="left"/>
      <w:pPr>
        <w:ind w:left="4320" w:hanging="360"/>
      </w:pPr>
    </w:lvl>
    <w:lvl w:ilvl="6" w:tplc="0A3E4ADC">
      <w:start w:val="1"/>
      <w:numFmt w:val="bullet"/>
      <w:lvlText w:val="●"/>
      <w:lvlJc w:val="left"/>
      <w:pPr>
        <w:ind w:left="5040" w:hanging="360"/>
      </w:pPr>
    </w:lvl>
    <w:lvl w:ilvl="7" w:tplc="521A457A">
      <w:start w:val="1"/>
      <w:numFmt w:val="bullet"/>
      <w:lvlText w:val="●"/>
      <w:lvlJc w:val="left"/>
      <w:pPr>
        <w:ind w:left="5760" w:hanging="360"/>
      </w:pPr>
    </w:lvl>
    <w:lvl w:ilvl="8" w:tplc="BE5410D8">
      <w:start w:val="1"/>
      <w:numFmt w:val="bullet"/>
      <w:lvlText w:val="●"/>
      <w:lvlJc w:val="left"/>
      <w:pPr>
        <w:ind w:left="6480" w:hanging="360"/>
      </w:pPr>
    </w:lvl>
  </w:abstractNum>
  <w:abstractNum w:abstractNumId="1" w15:restartNumberingAfterBreak="0">
    <w:nsid w:val="5CDB0FE3"/>
    <w:multiLevelType w:val="hybridMultilevel"/>
    <w:tmpl w:val="7030800E"/>
    <w:lvl w:ilvl="0" w:tplc="0D76CBBC">
      <w:start w:val="1"/>
      <w:numFmt w:val="decimal"/>
      <w:lvlText w:val="%1."/>
      <w:lvlJc w:val="left"/>
      <w:pPr>
        <w:ind w:left="576" w:hanging="360"/>
      </w:pPr>
    </w:lvl>
    <w:lvl w:ilvl="1" w:tplc="71EAC11E">
      <w:numFmt w:val="decimal"/>
      <w:lvlText w:val=""/>
      <w:lvlJc w:val="left"/>
    </w:lvl>
    <w:lvl w:ilvl="2" w:tplc="2C5C4994">
      <w:numFmt w:val="decimal"/>
      <w:lvlText w:val=""/>
      <w:lvlJc w:val="left"/>
    </w:lvl>
    <w:lvl w:ilvl="3" w:tplc="2B9EB796">
      <w:numFmt w:val="decimal"/>
      <w:lvlText w:val=""/>
      <w:lvlJc w:val="left"/>
    </w:lvl>
    <w:lvl w:ilvl="4" w:tplc="8304C710">
      <w:numFmt w:val="decimal"/>
      <w:lvlText w:val=""/>
      <w:lvlJc w:val="left"/>
    </w:lvl>
    <w:lvl w:ilvl="5" w:tplc="2E34CD28">
      <w:numFmt w:val="decimal"/>
      <w:lvlText w:val=""/>
      <w:lvlJc w:val="left"/>
    </w:lvl>
    <w:lvl w:ilvl="6" w:tplc="23281764">
      <w:numFmt w:val="decimal"/>
      <w:lvlText w:val=""/>
      <w:lvlJc w:val="left"/>
    </w:lvl>
    <w:lvl w:ilvl="7" w:tplc="A8BCA002">
      <w:numFmt w:val="decimal"/>
      <w:lvlText w:val=""/>
      <w:lvlJc w:val="left"/>
    </w:lvl>
    <w:lvl w:ilvl="8" w:tplc="D6DA0BAC">
      <w:numFmt w:val="decimal"/>
      <w:lvlText w:val=""/>
      <w:lvlJc w:val="left"/>
    </w:lvl>
  </w:abstractNum>
  <w:num w:numId="1" w16cid:durableId="1192764648">
    <w:abstractNumId w:val="0"/>
    <w:lvlOverride w:ilvl="0">
      <w:startOverride w:val="1"/>
    </w:lvlOverride>
  </w:num>
  <w:num w:numId="2" w16cid:durableId="15368451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0C6"/>
    <w:rsid w:val="004574EC"/>
    <w:rsid w:val="009F32C3"/>
    <w:rsid w:val="00CA20C6"/>
    <w:rsid w:val="00FE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264C7"/>
  <w15:docId w15:val="{C24135AD-115F-422E-9870-44BFE971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1927</Words>
  <Characters>10984</Characters>
  <Application>Microsoft Office Word</Application>
  <DocSecurity>0</DocSecurity>
  <Lines>91</Lines>
  <Paragraphs>25</Paragraphs>
  <ScaleCrop>false</ScaleCrop>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Kellie Farrish</cp:lastModifiedBy>
  <cp:revision>3</cp:revision>
  <dcterms:created xsi:type="dcterms:W3CDTF">2026-07-10T06:15:00Z</dcterms:created>
  <dcterms:modified xsi:type="dcterms:W3CDTF">2026-07-10T06:16:00Z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36d5dcc0-96c8-4344-98c6-b24b59315be3</vt:lpwstr>
  </property>
</Properties>
</file>