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69EEF" w14:textId="77777777" w:rsidR="001177BF" w:rsidRDefault="00000000">
      <w:pPr>
        <w:spacing w:after="20"/>
        <w:jc w:val="center"/>
      </w:pPr>
      <w:r>
        <w:rPr>
          <w:b/>
          <w:bCs/>
          <w:sz w:val="34"/>
          <w:szCs w:val="34"/>
        </w:rPr>
        <w:t>REPARATIVE GENEALOGY, LLC</w:t>
      </w:r>
    </w:p>
    <w:p w14:paraId="364C0546" w14:textId="77777777" w:rsidR="001177BF" w:rsidRDefault="00000000">
      <w:pPr>
        <w:spacing w:after="40"/>
        <w:jc w:val="center"/>
      </w:pPr>
      <w:r>
        <w:rPr>
          <w:i/>
          <w:iCs/>
          <w:color w:val="555555"/>
        </w:rPr>
        <w:t>Family History &amp; Reparative Ancestral Research</w:t>
      </w:r>
    </w:p>
    <w:p w14:paraId="1D732F17" w14:textId="77777777" w:rsidR="001177BF" w:rsidRDefault="001177BF">
      <w:pPr>
        <w:pBdr>
          <w:bottom w:val="single" w:sz="8" w:space="6" w:color="2E5B88"/>
        </w:pBdr>
        <w:spacing w:after="160"/>
        <w:jc w:val="center"/>
      </w:pPr>
    </w:p>
    <w:p w14:paraId="66E244F8" w14:textId="77777777" w:rsidR="001177BF" w:rsidRDefault="00000000">
      <w:pPr>
        <w:spacing w:after="40"/>
        <w:jc w:val="center"/>
      </w:pPr>
      <w:r>
        <w:rPr>
          <w:b/>
          <w:bCs/>
          <w:sz w:val="30"/>
          <w:szCs w:val="30"/>
        </w:rPr>
        <w:t>Research Proposal &amp; Service Agreement</w:t>
      </w:r>
    </w:p>
    <w:p w14:paraId="117CC01A" w14:textId="77777777" w:rsidR="001177BF" w:rsidRDefault="00000000">
      <w:pPr>
        <w:spacing w:after="160"/>
        <w:jc w:val="center"/>
      </w:pPr>
      <w:r>
        <w:rPr>
          <w:color w:val="2E5B88"/>
          <w:sz w:val="24"/>
          <w:szCs w:val="24"/>
        </w:rPr>
        <w:t>The Origins of Fortune Stewart and Rebecca Payne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0"/>
        <w:gridCol w:w="7060"/>
      </w:tblGrid>
      <w:tr w:rsidR="001177BF" w14:paraId="52CAB185" w14:textId="77777777">
        <w:tblPrEx>
          <w:tblCellMar>
            <w:top w:w="0" w:type="dxa"/>
            <w:bottom w:w="0" w:type="dxa"/>
          </w:tblCellMar>
        </w:tblPrEx>
        <w:tc>
          <w:tcPr>
            <w:tcW w:w="2300" w:type="dxa"/>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vAlign w:val="center"/>
          </w:tcPr>
          <w:p w14:paraId="79E26F65" w14:textId="77777777" w:rsidR="001177BF" w:rsidRDefault="00000000">
            <w:r>
              <w:rPr>
                <w:sz w:val="21"/>
                <w:szCs w:val="21"/>
              </w:rPr>
              <w:t>Prepared for</w:t>
            </w:r>
          </w:p>
        </w:tc>
        <w:tc>
          <w:tcPr>
            <w:tcW w:w="7060" w:type="dxa"/>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vAlign w:val="center"/>
          </w:tcPr>
          <w:p w14:paraId="7ED8809B" w14:textId="77777777" w:rsidR="001177BF" w:rsidRDefault="00000000">
            <w:r>
              <w:rPr>
                <w:sz w:val="21"/>
                <w:szCs w:val="21"/>
              </w:rPr>
              <w:t>Donna Jerrie Stewart (Mrs. Jerry Stewart)</w:t>
            </w:r>
          </w:p>
        </w:tc>
      </w:tr>
      <w:tr w:rsidR="001177BF" w14:paraId="165309B8" w14:textId="77777777">
        <w:tblPrEx>
          <w:tblCellMar>
            <w:top w:w="0" w:type="dxa"/>
            <w:bottom w:w="0" w:type="dxa"/>
          </w:tblCellMar>
        </w:tblPrEx>
        <w:tc>
          <w:tcPr>
            <w:tcW w:w="2300" w:type="dxa"/>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vAlign w:val="center"/>
          </w:tcPr>
          <w:p w14:paraId="450914DB" w14:textId="77777777" w:rsidR="001177BF" w:rsidRDefault="00000000">
            <w:r>
              <w:rPr>
                <w:sz w:val="21"/>
                <w:szCs w:val="21"/>
              </w:rPr>
              <w:t>Prepared by</w:t>
            </w:r>
          </w:p>
        </w:tc>
        <w:tc>
          <w:tcPr>
            <w:tcW w:w="7060" w:type="dxa"/>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vAlign w:val="center"/>
          </w:tcPr>
          <w:p w14:paraId="0871F1B9" w14:textId="77777777" w:rsidR="001177BF" w:rsidRDefault="00000000">
            <w:r>
              <w:rPr>
                <w:sz w:val="21"/>
                <w:szCs w:val="21"/>
              </w:rPr>
              <w:t>Reparative Genealogy, LLC</w:t>
            </w:r>
          </w:p>
        </w:tc>
      </w:tr>
      <w:tr w:rsidR="001177BF" w14:paraId="59E4DF69" w14:textId="77777777">
        <w:tblPrEx>
          <w:tblCellMar>
            <w:top w:w="0" w:type="dxa"/>
            <w:bottom w:w="0" w:type="dxa"/>
          </w:tblCellMar>
        </w:tblPrEx>
        <w:tc>
          <w:tcPr>
            <w:tcW w:w="2300" w:type="dxa"/>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vAlign w:val="center"/>
          </w:tcPr>
          <w:p w14:paraId="0AA8A493" w14:textId="77777777" w:rsidR="001177BF" w:rsidRDefault="00000000">
            <w:r>
              <w:rPr>
                <w:sz w:val="21"/>
                <w:szCs w:val="21"/>
              </w:rPr>
              <w:t>Date</w:t>
            </w:r>
          </w:p>
        </w:tc>
        <w:tc>
          <w:tcPr>
            <w:tcW w:w="7060" w:type="dxa"/>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vAlign w:val="center"/>
          </w:tcPr>
          <w:p w14:paraId="02BE4EE2" w14:textId="77777777" w:rsidR="001177BF" w:rsidRDefault="00000000">
            <w:r>
              <w:rPr>
                <w:sz w:val="21"/>
                <w:szCs w:val="21"/>
              </w:rPr>
              <w:t>July 6, 2026</w:t>
            </w:r>
          </w:p>
        </w:tc>
      </w:tr>
      <w:tr w:rsidR="001177BF" w14:paraId="5781B3AF" w14:textId="77777777">
        <w:tblPrEx>
          <w:tblCellMar>
            <w:top w:w="0" w:type="dxa"/>
            <w:bottom w:w="0" w:type="dxa"/>
          </w:tblCellMar>
        </w:tblPrEx>
        <w:tc>
          <w:tcPr>
            <w:tcW w:w="2300" w:type="dxa"/>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vAlign w:val="center"/>
          </w:tcPr>
          <w:p w14:paraId="3C5B9889" w14:textId="77777777" w:rsidR="001177BF" w:rsidRDefault="00000000">
            <w:r>
              <w:rPr>
                <w:sz w:val="21"/>
                <w:szCs w:val="21"/>
              </w:rPr>
              <w:t>Re</w:t>
            </w:r>
          </w:p>
        </w:tc>
        <w:tc>
          <w:tcPr>
            <w:tcW w:w="7060" w:type="dxa"/>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vAlign w:val="center"/>
          </w:tcPr>
          <w:p w14:paraId="20F7A500" w14:textId="77777777" w:rsidR="001177BF" w:rsidRDefault="00000000">
            <w:r>
              <w:rPr>
                <w:sz w:val="21"/>
                <w:szCs w:val="21"/>
              </w:rPr>
              <w:t>Genealogical research into the origins and ancestry of Fortune Stewart and Rebecca Payne of Williamsport, Grant County, West Virginia</w:t>
            </w:r>
          </w:p>
        </w:tc>
      </w:tr>
    </w:tbl>
    <w:p w14:paraId="25D733BE" w14:textId="77777777" w:rsidR="001177BF" w:rsidRDefault="00000000">
      <w:pPr>
        <w:pStyle w:val="Heading2"/>
      </w:pPr>
      <w:r>
        <w:t>1. Introduction</w:t>
      </w:r>
    </w:p>
    <w:p w14:paraId="4BE8BA78" w14:textId="77777777" w:rsidR="001177BF" w:rsidRDefault="00000000">
      <w:pPr>
        <w:spacing w:before="100" w:after="100"/>
      </w:pPr>
      <w:r>
        <w:t xml:space="preserve">Thank you for entrusting Reparative </w:t>
      </w:r>
      <w:proofErr w:type="gramStart"/>
      <w:r>
        <w:t>Genealogy,</w:t>
      </w:r>
      <w:proofErr w:type="gramEnd"/>
      <w:r>
        <w:t xml:space="preserve"> LLC with your family's history. This proposal sets out what you have provided, the objective of the research, the plan we will follow to pursue it, the deliverables you can expect, and the cost of the initial engagement. When you are ready to proceed, your signature and payment (page 4) authorize the work to begin.</w:t>
      </w:r>
    </w:p>
    <w:p w14:paraId="3A465B25" w14:textId="77777777" w:rsidR="001177BF" w:rsidRDefault="00000000">
      <w:pPr>
        <w:spacing w:before="100" w:after="100"/>
      </w:pPr>
      <w:r>
        <w:t>Your great-grandparents, Fortune Stewart and Rebecca Payne, are the focus of this study. They are, in your own words, the family's “beginning” — the point beyond which the family currently knows nothing of its ancestors. The purpose of this engagement is to press beyond that wall and recover earlier and fuller documentation of their lives and origins.</w:t>
      </w:r>
    </w:p>
    <w:p w14:paraId="38237435" w14:textId="77777777" w:rsidR="001177BF" w:rsidRDefault="00000000">
      <w:pPr>
        <w:pStyle w:val="Heading2"/>
      </w:pPr>
      <w:r>
        <w:t>2. Materials you have provided</w:t>
      </w:r>
    </w:p>
    <w:p w14:paraId="432DDFF5" w14:textId="77777777" w:rsidR="001177BF" w:rsidRDefault="00000000">
      <w:pPr>
        <w:spacing w:before="100" w:after="100"/>
      </w:pPr>
      <w:r>
        <w:t>This research builds on a substantial body of work you have already assembled. You have provided three things, which form the agreed factual starting point:</w:t>
      </w:r>
    </w:p>
    <w:p w14:paraId="51F59783" w14:textId="77777777" w:rsidR="001177BF" w:rsidRDefault="00000000">
      <w:pPr>
        <w:spacing w:before="100" w:after="100"/>
      </w:pPr>
      <w:r>
        <w:rPr>
          <w:b/>
          <w:bCs/>
        </w:rPr>
        <w:t xml:space="preserve">A. Your family blog. </w:t>
      </w:r>
      <w:r>
        <w:t>“In Search of Rebecca and Fortune” (“The Stewarts of Williamsport”) is a multi-year compilation of family oral tradition, personal memoir, your own record research, and sixty-one photographs and images. It documents Fortune and Rebecca, their sixteen children who reached adulthood, and four generations of descendants across Williamsport, Parkersburg, Belpre, Piedmont, Clarksburg, and beyond.</w:t>
      </w:r>
    </w:p>
    <w:p w14:paraId="55C270CD" w14:textId="1A6F58C9" w:rsidR="001177BF" w:rsidRDefault="00000000">
      <w:pPr>
        <w:spacing w:before="100" w:after="100"/>
      </w:pPr>
      <w:r>
        <w:rPr>
          <w:b/>
          <w:bCs/>
        </w:rPr>
        <w:t xml:space="preserve">B. Your Ancestry.com family tree. </w:t>
      </w:r>
      <w:r>
        <w:t>The online tree holding the compiled lineage</w:t>
      </w:r>
      <w:r w:rsidR="004D1227">
        <w:t xml:space="preserve">: </w:t>
      </w:r>
      <w:r>
        <w:t>names, dates, and relationships of Fortune and Rebecca and their descendants.</w:t>
      </w:r>
    </w:p>
    <w:p w14:paraId="1F6E5E1D" w14:textId="73DF090E" w:rsidR="001177BF" w:rsidRDefault="00000000">
      <w:pPr>
        <w:spacing w:before="100" w:after="100"/>
      </w:pPr>
      <w:r>
        <w:rPr>
          <w:b/>
          <w:bCs/>
        </w:rPr>
        <w:t xml:space="preserve">C. 23andMe DNA results. </w:t>
      </w:r>
      <w:r>
        <w:t xml:space="preserve">Autosomal DNA for you, and for your brother Wayne. Because Wayne descends from Fortune through an unbroken father-to-son line (Fortune → Homer → Brownley → Wayne), his paternal (Y-DNA) haplogroup is Fortune's own; 23andMe reports it as E-M132. Your own autosomal results cover </w:t>
      </w:r>
      <w:r w:rsidR="004D1227">
        <w:t>all</w:t>
      </w:r>
      <w:r>
        <w:t xml:space="preserve"> your ancestral lines.</w:t>
      </w:r>
    </w:p>
    <w:p w14:paraId="681D38C1" w14:textId="77777777" w:rsidR="001177BF" w:rsidRDefault="00000000">
      <w:pPr>
        <w:spacing w:before="160" w:after="100"/>
      </w:pPr>
      <w:r>
        <w:rPr>
          <w:b/>
          <w:bCs/>
        </w:rPr>
        <w:t>What the blog establishes for us:</w:t>
      </w:r>
    </w:p>
    <w:p w14:paraId="4417231F" w14:textId="77777777" w:rsidR="001177BF" w:rsidRDefault="00000000">
      <w:pPr>
        <w:pStyle w:val="ListParagraph"/>
        <w:numPr>
          <w:ilvl w:val="0"/>
          <w:numId w:val="2"/>
        </w:numPr>
        <w:spacing w:before="40" w:after="40"/>
      </w:pPr>
      <w:r>
        <w:t>Fortune Stewart, a freedman (died August 1, 1888), and Rebecca Payne (born about November 1829; died July 4, 1910), of Williamsport, Grant County, West Virginia, married about the end of the Civil War.</w:t>
      </w:r>
    </w:p>
    <w:p w14:paraId="46AB4264" w14:textId="77777777" w:rsidR="001177BF" w:rsidRDefault="00000000">
      <w:pPr>
        <w:pStyle w:val="ListParagraph"/>
        <w:numPr>
          <w:ilvl w:val="0"/>
          <w:numId w:val="2"/>
        </w:numPr>
        <w:spacing w:before="40" w:after="40"/>
      </w:pPr>
      <w:r>
        <w:t>They raised sixteen children, including five daughters who married five Hilliard brothers; the family's oral tradition holds that Rebecca's first children were born in slavery.</w:t>
      </w:r>
    </w:p>
    <w:p w14:paraId="331EBFE9" w14:textId="77777777" w:rsidR="001177BF" w:rsidRDefault="00000000">
      <w:pPr>
        <w:pStyle w:val="ListParagraph"/>
        <w:numPr>
          <w:ilvl w:val="0"/>
          <w:numId w:val="2"/>
        </w:numPr>
        <w:spacing w:before="40" w:after="40"/>
      </w:pPr>
      <w:r>
        <w:lastRenderedPageBreak/>
        <w:t xml:space="preserve">Oral tradition that Fortune may have been </w:t>
      </w:r>
      <w:proofErr w:type="gramStart"/>
      <w:r>
        <w:t>Caribbean-born</w:t>
      </w:r>
      <w:proofErr w:type="gramEnd"/>
      <w:r>
        <w:t xml:space="preserve"> (he is remembered as speaking French and/or Spanish and keeping foreign coins), and that Rebecca was enslaved on the “Cunningham Place” in the Trough area of Old Fields.</w:t>
      </w:r>
    </w:p>
    <w:p w14:paraId="3DB50F5B" w14:textId="77777777" w:rsidR="001177BF" w:rsidRDefault="00000000">
      <w:pPr>
        <w:pStyle w:val="ListParagraph"/>
        <w:numPr>
          <w:ilvl w:val="0"/>
          <w:numId w:val="2"/>
        </w:numPr>
        <w:spacing w:before="40" w:after="40"/>
      </w:pPr>
      <w:r>
        <w:t>A photograph of Rebecca Payne Stewart survives among your images; portraits of the children and later generations are preserved as well.</w:t>
      </w:r>
    </w:p>
    <w:p w14:paraId="661AFB5C" w14:textId="77777777" w:rsidR="001177BF" w:rsidRDefault="00000000">
      <w:pPr>
        <w:pStyle w:val="Heading2"/>
        <w:pageBreakBefore/>
      </w:pPr>
      <w:r>
        <w:lastRenderedPageBreak/>
        <w:t>3. Research objective</w:t>
      </w:r>
    </w:p>
    <w:p w14:paraId="3429E871" w14:textId="77777777" w:rsidR="001177BF" w:rsidRDefault="00000000">
      <w:pPr>
        <w:spacing w:before="100" w:after="100"/>
      </w:pPr>
      <w:r>
        <w:t>Consistent with your wish to learn more about your great-grandparents, the objective of this engagement is:</w:t>
      </w:r>
    </w:p>
    <w:p w14:paraId="46C6FFBB" w14:textId="6AC069CB" w:rsidR="001177BF" w:rsidRDefault="00000000">
      <w:pPr>
        <w:pBdr>
          <w:left w:val="single" w:sz="18" w:space="12" w:color="2E5B88"/>
        </w:pBdr>
        <w:spacing w:before="80" w:after="120"/>
        <w:ind w:left="240"/>
      </w:pPr>
      <w:r>
        <w:rPr>
          <w:i/>
          <w:iCs/>
          <w:sz w:val="23"/>
          <w:szCs w:val="23"/>
        </w:rPr>
        <w:t>To recover earlier documented information about the lives, families, and origins of Fortune Stewart and Rebecca Payne</w:t>
      </w:r>
      <w:r w:rsidR="004D1227">
        <w:rPr>
          <w:i/>
          <w:iCs/>
          <w:sz w:val="23"/>
          <w:szCs w:val="23"/>
        </w:rPr>
        <w:t>,</w:t>
      </w:r>
      <w:r>
        <w:rPr>
          <w:i/>
          <w:iCs/>
          <w:sz w:val="23"/>
          <w:szCs w:val="23"/>
        </w:rPr>
        <w:t xml:space="preserve"> including, so far as the records and DNA allow, the identity of the people and places to which they were connected before and during slavery, and a test of the family tradition that Fortune's origins lay in the Caribbean.</w:t>
      </w:r>
    </w:p>
    <w:p w14:paraId="5B4D8A1D" w14:textId="77777777" w:rsidR="001177BF" w:rsidRDefault="00000000">
      <w:pPr>
        <w:spacing w:before="100" w:after="100"/>
      </w:pPr>
      <w:r>
        <w:t>Several specific questions arise directly from your blog. Resolving them will guide the work:</w:t>
      </w:r>
    </w:p>
    <w:p w14:paraId="48B86AED" w14:textId="1D519B6A" w:rsidR="001177BF" w:rsidRDefault="00000000">
      <w:pPr>
        <w:pStyle w:val="ListParagraph"/>
        <w:numPr>
          <w:ilvl w:val="0"/>
          <w:numId w:val="3"/>
        </w:numPr>
        <w:spacing w:before="50" w:after="50"/>
      </w:pPr>
      <w:r>
        <w:t>The surname “Ford” attached to Rebecca's four eldest daughters (born about 1848–1852): who was the Ford connected to this family</w:t>
      </w:r>
      <w:r w:rsidR="004D1227">
        <w:t>,</w:t>
      </w:r>
      <w:r>
        <w:t xml:space="preserve"> and does the name point to where Rebecca and her first children were enslaved?</w:t>
      </w:r>
    </w:p>
    <w:p w14:paraId="65EAF19E" w14:textId="57033E1B" w:rsidR="001177BF" w:rsidRDefault="00000000">
      <w:pPr>
        <w:pStyle w:val="ListParagraph"/>
        <w:numPr>
          <w:ilvl w:val="0"/>
          <w:numId w:val="3"/>
        </w:numPr>
        <w:spacing w:before="50" w:after="50"/>
      </w:pPr>
      <w:r>
        <w:t>The name “James Williams,” recorded as the father of daughter Jane</w:t>
      </w:r>
      <w:r w:rsidR="004D1227">
        <w:t>,</w:t>
      </w:r>
      <w:r>
        <w:t xml:space="preserve"> who was he, and how does he relate to the family?</w:t>
      </w:r>
    </w:p>
    <w:p w14:paraId="01442D58" w14:textId="77777777" w:rsidR="001177BF" w:rsidRDefault="00000000">
      <w:pPr>
        <w:pStyle w:val="ListParagraph"/>
        <w:numPr>
          <w:ilvl w:val="0"/>
          <w:numId w:val="3"/>
        </w:numPr>
        <w:spacing w:before="50" w:after="50"/>
      </w:pPr>
      <w:r>
        <w:t>The “Cunningham Place” in the Trough at Old Fields: which Cunningham household enslaved Rebecca, and what records survive of it?</w:t>
      </w:r>
    </w:p>
    <w:p w14:paraId="2F8C2E82" w14:textId="77777777" w:rsidR="001177BF" w:rsidRDefault="00000000">
      <w:pPr>
        <w:pStyle w:val="ListParagraph"/>
        <w:numPr>
          <w:ilvl w:val="0"/>
          <w:numId w:val="3"/>
        </w:numPr>
        <w:spacing w:before="50" w:after="50"/>
      </w:pPr>
      <w:r>
        <w:t>Fortune's origins: can any record corroborate the family tradition of a Caribbean birthplace, rather than the “Virginia” recorded in later documents?</w:t>
      </w:r>
    </w:p>
    <w:p w14:paraId="2FE10B25" w14:textId="77777777" w:rsidR="001177BF" w:rsidRDefault="00000000">
      <w:pPr>
        <w:pStyle w:val="ListParagraph"/>
        <w:numPr>
          <w:ilvl w:val="0"/>
          <w:numId w:val="3"/>
        </w:numPr>
        <w:spacing w:before="50" w:after="50"/>
      </w:pPr>
      <w:r>
        <w:t>The birth years of both Fortune (given as about 1808 or about 1815) and Rebecca (given as 1829 or 1838): which are correct?</w:t>
      </w:r>
    </w:p>
    <w:p w14:paraId="67754838" w14:textId="77777777" w:rsidR="001177BF" w:rsidRDefault="00000000">
      <w:pPr>
        <w:pStyle w:val="ListParagraph"/>
        <w:numPr>
          <w:ilvl w:val="0"/>
          <w:numId w:val="3"/>
        </w:numPr>
        <w:spacing w:before="50" w:after="50"/>
      </w:pPr>
      <w:r>
        <w:t>When and where did Fortune and Rebecca formally marry, and what became of daughters Belle and Annie, whose later lives are unknown?</w:t>
      </w:r>
    </w:p>
    <w:p w14:paraId="19607043" w14:textId="77777777" w:rsidR="001177BF" w:rsidRDefault="00000000">
      <w:pPr>
        <w:pStyle w:val="Heading2"/>
        <w:pageBreakBefore/>
      </w:pPr>
      <w:r>
        <w:lastRenderedPageBreak/>
        <w:t>4. Historical and jurisdictional context (research parameters)</w:t>
      </w:r>
    </w:p>
    <w:p w14:paraId="23BF8951" w14:textId="77777777" w:rsidR="001177BF" w:rsidRDefault="00000000">
      <w:pPr>
        <w:spacing w:before="100" w:after="100"/>
      </w:pPr>
      <w:r>
        <w:t>Finding earlier records in this region requires understanding how its boundaries and record-keeping changed — changes driven by the Civil War itself. These parameters shape where we will search.</w:t>
      </w:r>
    </w:p>
    <w:p w14:paraId="0603AD24" w14:textId="77777777" w:rsidR="001177BF" w:rsidRDefault="00000000">
      <w:pPr>
        <w:spacing w:before="120" w:after="100"/>
      </w:pPr>
      <w:r>
        <w:rPr>
          <w:b/>
          <w:bCs/>
        </w:rPr>
        <w:t>West Virginia's separation from Virginia.</w:t>
      </w:r>
    </w:p>
    <w:p w14:paraId="5615E0D8" w14:textId="4DDC1AF3" w:rsidR="001177BF" w:rsidRDefault="00000000">
      <w:pPr>
        <w:spacing w:before="100" w:after="100"/>
      </w:pPr>
      <w:r>
        <w:t>The counties that became West Virginia refused to follow Virginia into the Confederacy, and West Virginia was admitted as a separate state on June 20, 1863. As a result, the same locality is recorded as “Virginia” before mid-1863 and “West Virginia” afterward. Records of your family and of the households that held them in slavery may therefore appear under either state name</w:t>
      </w:r>
      <w:r w:rsidR="008823DE">
        <w:t>,</w:t>
      </w:r>
      <w:r>
        <w:t xml:space="preserve"> depending on the year </w:t>
      </w:r>
      <w:r w:rsidR="004D1227">
        <w:t>(</w:t>
      </w:r>
      <w:r>
        <w:t>a distinction we will track carefully.</w:t>
      </w:r>
      <w:r w:rsidR="004D1227">
        <w:t>)</w:t>
      </w:r>
    </w:p>
    <w:p w14:paraId="205FA31A" w14:textId="77777777" w:rsidR="001177BF" w:rsidRDefault="00000000">
      <w:pPr>
        <w:spacing w:before="120" w:after="100"/>
      </w:pPr>
      <w:r>
        <w:rPr>
          <w:b/>
          <w:bCs/>
        </w:rPr>
        <w:t>Hardy County, Grant County, and when local record-keeping begins.</w:t>
      </w:r>
    </w:p>
    <w:p w14:paraId="1000CDC0" w14:textId="336EF133" w:rsidR="001177BF" w:rsidRDefault="00000000">
      <w:pPr>
        <w:spacing w:before="100" w:after="100"/>
      </w:pPr>
      <w:r>
        <w:t>Williamsport lies in Grant County and borders Virginia. As your literature notes, Grant County was created from Hardy County on February 14, 1866, with its county seat at Petersburg; the new county's records — birth, marriage, death, court, land, and probate</w:t>
      </w:r>
      <w:r w:rsidR="004D1227">
        <w:t>-</w:t>
      </w:r>
      <w:r>
        <w:t xml:space="preserve"> begin in 1866, and the first federal census taken for it is 1870. There are no known courthouse disasters, so these records survive. This 1866 threshold is important: documentation of your family after 1866 is found in Grant County, but anything earlier</w:t>
      </w:r>
      <w:r w:rsidR="004D1227">
        <w:t xml:space="preserve">, </w:t>
      </w:r>
      <w:r>
        <w:t>including the entire slavery era</w:t>
      </w:r>
      <w:r w:rsidR="004D1227">
        <w:t>,</w:t>
      </w:r>
      <w:r>
        <w:t xml:space="preserve"> must be sought in the parent county, Hardy (and, before 1863, in “Hardy County, Virginia”). Hardy County itself is long-established, so its earlier records are </w:t>
      </w:r>
      <w:r w:rsidR="004D1227">
        <w:t>searchable</w:t>
      </w:r>
      <w:r>
        <w:t>.</w:t>
      </w:r>
    </w:p>
    <w:p w14:paraId="09E20629" w14:textId="77777777" w:rsidR="001177BF" w:rsidRDefault="00000000">
      <w:pPr>
        <w:spacing w:before="120" w:after="100"/>
      </w:pPr>
      <w:r>
        <w:rPr>
          <w:b/>
          <w:bCs/>
        </w:rPr>
        <w:t xml:space="preserve">Counties to be </w:t>
      </w:r>
      <w:proofErr w:type="gramStart"/>
      <w:r>
        <w:rPr>
          <w:b/>
          <w:bCs/>
        </w:rPr>
        <w:t>searched</w:t>
      </w:r>
      <w:proofErr w:type="gramEnd"/>
      <w:r>
        <w:rPr>
          <w:b/>
          <w:bCs/>
        </w:rPr>
        <w:t>.</w:t>
      </w:r>
    </w:p>
    <w:p w14:paraId="3F130A58" w14:textId="4F6F047E" w:rsidR="001177BF" w:rsidRDefault="00000000">
      <w:pPr>
        <w:spacing w:before="100" w:after="100"/>
      </w:pPr>
      <w:r>
        <w:t>Because of these boundary changes and because Williamsport sits on the state line, the research will not be confined to Grant County. It will extend to Grant and the surrounding and parent counties</w:t>
      </w:r>
      <w:r w:rsidR="004D1227">
        <w:t>:</w:t>
      </w:r>
      <w:r>
        <w:t xml:space="preserve"> Hardy, Hampshire, Mineral, Pendleton, and Tucker</w:t>
      </w:r>
      <w:r w:rsidR="004D1227">
        <w:t>,</w:t>
      </w:r>
      <w:r>
        <w:t xml:space="preserve"> and, since enslaving families and enslaved people moved freely across the line, to the adjacent Virginia counties as well (including Shenandoah, Rockingham, Page, and Frederick). We will treat the pre-1863 “Virginia” and post-1863 “West Virginia” records of the same area as a single continuous field of search.</w:t>
      </w:r>
    </w:p>
    <w:p w14:paraId="58809554" w14:textId="77777777" w:rsidR="001177BF" w:rsidRDefault="00000000">
      <w:pPr>
        <w:pStyle w:val="Heading2"/>
        <w:pageBreakBefore/>
      </w:pPr>
      <w:r>
        <w:lastRenderedPageBreak/>
        <w:t>5. Research plan</w:t>
      </w:r>
    </w:p>
    <w:p w14:paraId="57ED9CAB" w14:textId="1BE866E0" w:rsidR="001177BF" w:rsidRDefault="00000000">
      <w:pPr>
        <w:spacing w:before="100" w:after="100"/>
      </w:pPr>
      <w:r>
        <w:t>The initial engagement will proceed along two complementary tracks — documentary research and DNA analysis</w:t>
      </w:r>
      <w:r w:rsidR="004D1227">
        <w:t xml:space="preserve">, </w:t>
      </w:r>
      <w:r>
        <w:t>both aimed squarely at the origins of Fortune and Rebecca.</w:t>
      </w:r>
    </w:p>
    <w:p w14:paraId="51A02E34" w14:textId="070CAC03" w:rsidR="001177BF" w:rsidRDefault="00000000">
      <w:pPr>
        <w:spacing w:before="120" w:after="100"/>
      </w:pPr>
      <w:r>
        <w:rPr>
          <w:b/>
          <w:bCs/>
        </w:rPr>
        <w:t>Track A</w:t>
      </w:r>
      <w:r w:rsidR="004D1227">
        <w:rPr>
          <w:b/>
          <w:bCs/>
        </w:rPr>
        <w:t xml:space="preserve">: </w:t>
      </w:r>
      <w:r>
        <w:rPr>
          <w:b/>
          <w:bCs/>
        </w:rPr>
        <w:t>Documentary research.</w:t>
      </w:r>
    </w:p>
    <w:p w14:paraId="091951D1" w14:textId="77777777" w:rsidR="001177BF" w:rsidRDefault="00000000">
      <w:pPr>
        <w:pStyle w:val="ListParagraph"/>
        <w:numPr>
          <w:ilvl w:val="0"/>
          <w:numId w:val="3"/>
        </w:numPr>
        <w:spacing w:before="50" w:after="50"/>
      </w:pPr>
      <w:r>
        <w:t>Establish the family firmly in the post-1866 Grant County records and work backward into Hardy County (Virginia/West Virginia) for the slavery era, following the surname and place clues from your blog (Ford, Williams, Cunningham; Old Fields, the Trough).</w:t>
      </w:r>
    </w:p>
    <w:p w14:paraId="2B6478FF" w14:textId="77777777" w:rsidR="001177BF" w:rsidRDefault="00000000">
      <w:pPr>
        <w:pStyle w:val="ListParagraph"/>
        <w:numPr>
          <w:ilvl w:val="0"/>
          <w:numId w:val="3"/>
        </w:numPr>
        <w:spacing w:before="50" w:after="50"/>
      </w:pPr>
      <w:r>
        <w:t>Search the records that most often break the 1865 wall for formerly enslaved families: the 1866 register of recognized marriages of formerly enslaved people, Freedmen's Bureau records for the region, pre-1865 slave schedules (1850 and 1860), and the deeds, wills, and estate settlements of the neighboring enslaving households named or implied by the clues above.</w:t>
      </w:r>
    </w:p>
    <w:p w14:paraId="48829FB5" w14:textId="77777777" w:rsidR="001177BF" w:rsidRDefault="00000000">
      <w:pPr>
        <w:pStyle w:val="ListParagraph"/>
        <w:numPr>
          <w:ilvl w:val="0"/>
          <w:numId w:val="3"/>
        </w:numPr>
        <w:spacing w:before="50" w:after="50"/>
      </w:pPr>
      <w:r>
        <w:t>Reconcile the conflicting dates and details in the family record (birth years for Fortune and Rebecca; the fate of daughters Belle and Annie; the two “Ambrose Kent” marriages) against original documents.</w:t>
      </w:r>
    </w:p>
    <w:p w14:paraId="5635D11F" w14:textId="77777777" w:rsidR="001177BF" w:rsidRDefault="00000000">
      <w:pPr>
        <w:pStyle w:val="ListParagraph"/>
        <w:numPr>
          <w:ilvl w:val="0"/>
          <w:numId w:val="3"/>
        </w:numPr>
        <w:spacing w:before="50" w:after="50"/>
      </w:pPr>
      <w:r>
        <w:t>Test the Caribbean-origin tradition against any surviving documentary evidence of Fortune's birthplace and arrival.</w:t>
      </w:r>
    </w:p>
    <w:p w14:paraId="69A48174" w14:textId="4A455B66" w:rsidR="001177BF" w:rsidRDefault="00000000">
      <w:pPr>
        <w:spacing w:before="120" w:after="100"/>
      </w:pPr>
      <w:r>
        <w:rPr>
          <w:b/>
          <w:bCs/>
        </w:rPr>
        <w:t>Track B</w:t>
      </w:r>
      <w:r w:rsidR="004D1227">
        <w:rPr>
          <w:b/>
          <w:bCs/>
        </w:rPr>
        <w:t xml:space="preserve">: </w:t>
      </w:r>
      <w:r>
        <w:rPr>
          <w:b/>
          <w:bCs/>
        </w:rPr>
        <w:t>DNA analysis (autosomal matches at 23andMe and Ancestry.com).</w:t>
      </w:r>
    </w:p>
    <w:p w14:paraId="67072E42" w14:textId="7391BC0F" w:rsidR="001177BF" w:rsidRDefault="00000000">
      <w:pPr>
        <w:spacing w:before="100" w:after="100"/>
      </w:pPr>
      <w:r>
        <w:t xml:space="preserve">A dedicated analysis of your autosomal DNA matches </w:t>
      </w:r>
      <w:r w:rsidR="004D1227">
        <w:t>on both 23andMe and Ancestry.com will be performed to identify</w:t>
      </w:r>
      <w:r>
        <w:t xml:space="preserve"> the origins of Fortune and Rebecca. This work will:</w:t>
      </w:r>
    </w:p>
    <w:p w14:paraId="19868221" w14:textId="77777777" w:rsidR="001177BF" w:rsidRDefault="00000000">
      <w:pPr>
        <w:pStyle w:val="ListParagraph"/>
        <w:numPr>
          <w:ilvl w:val="0"/>
          <w:numId w:val="2"/>
        </w:numPr>
        <w:spacing w:before="40" w:after="40"/>
      </w:pPr>
      <w:r>
        <w:t>Organize your (and Wayne's) matches into genetic clusters and identify the shared surnames, locations, and ancestral lines each cluster represents, separating your paternal (Stewart/Fortune) side from your maternal side and from Rebecca's line.</w:t>
      </w:r>
    </w:p>
    <w:p w14:paraId="583AF1E5" w14:textId="057F0B5C" w:rsidR="001177BF" w:rsidRDefault="00000000">
      <w:pPr>
        <w:pStyle w:val="ListParagraph"/>
        <w:numPr>
          <w:ilvl w:val="0"/>
          <w:numId w:val="2"/>
        </w:numPr>
        <w:spacing w:before="40" w:after="40"/>
      </w:pPr>
      <w:r>
        <w:t>Use those clusters to point toward the families and places connected to Fortune and Rebecca before emancipation</w:t>
      </w:r>
      <w:r w:rsidR="004D1227">
        <w:t xml:space="preserve">, </w:t>
      </w:r>
      <w:r>
        <w:t>including matches that may descend from the same enslaving households</w:t>
      </w:r>
      <w:r w:rsidR="004D1227">
        <w:t>,</w:t>
      </w:r>
      <w:r>
        <w:t xml:space="preserve"> and to weigh the Caribbean-origin tradition against the geographic pattern of your matches.</w:t>
      </w:r>
    </w:p>
    <w:p w14:paraId="685ECA16" w14:textId="77777777" w:rsidR="001177BF" w:rsidRDefault="00000000">
      <w:pPr>
        <w:pStyle w:val="ListParagraph"/>
        <w:numPr>
          <w:ilvl w:val="0"/>
          <w:numId w:val="2"/>
        </w:numPr>
        <w:spacing w:before="40" w:after="40"/>
      </w:pPr>
      <w:r>
        <w:t>Coordinate the autosomal findings with Wayne's paternal (Y-DNA) line so that the documentary and genetic evidence are read together toward a single conclusion about origins.</w:t>
      </w:r>
    </w:p>
    <w:p w14:paraId="177B9D6A" w14:textId="77777777" w:rsidR="001177BF" w:rsidRDefault="00000000">
      <w:pPr>
        <w:pStyle w:val="Heading2"/>
        <w:pageBreakBefore/>
      </w:pPr>
      <w:r>
        <w:lastRenderedPageBreak/>
        <w:t>6. Deliverables</w:t>
      </w:r>
    </w:p>
    <w:p w14:paraId="7C52A2CD" w14:textId="022C8C6B" w:rsidR="001177BF" w:rsidRDefault="00000000">
      <w:pPr>
        <w:spacing w:before="100" w:after="100"/>
      </w:pPr>
      <w:r>
        <w:t>At the close of the initial engagement</w:t>
      </w:r>
      <w:r w:rsidR="004D1227">
        <w:t>,</w:t>
      </w:r>
      <w:r>
        <w:t xml:space="preserve"> you will receive:</w:t>
      </w:r>
    </w:p>
    <w:p w14:paraId="093C94A0" w14:textId="77777777" w:rsidR="001177BF" w:rsidRDefault="00000000">
      <w:pPr>
        <w:pStyle w:val="ListParagraph"/>
        <w:numPr>
          <w:ilvl w:val="0"/>
          <w:numId w:val="2"/>
        </w:numPr>
        <w:spacing w:before="40" w:after="40"/>
      </w:pPr>
      <w:r>
        <w:t>A written research report summarizing the findings, the records searched, and the conclusions (and remaining questions) regarding the origins of Fortune and Rebecca.</w:t>
      </w:r>
    </w:p>
    <w:p w14:paraId="741E853B" w14:textId="77777777" w:rsidR="001177BF" w:rsidRDefault="00000000">
      <w:pPr>
        <w:pStyle w:val="ListParagraph"/>
        <w:numPr>
          <w:ilvl w:val="0"/>
          <w:numId w:val="2"/>
        </w:numPr>
        <w:spacing w:before="40" w:after="40"/>
      </w:pPr>
      <w:r>
        <w:t>A dedicated analysis of your autosomal DNA matches at 23andMe and Ancestry.com, with the clusters and lines identified and their bearing on the origins of Fortune and Rebecca explained.</w:t>
      </w:r>
    </w:p>
    <w:p w14:paraId="51EA10BC" w14:textId="77777777" w:rsidR="001177BF" w:rsidRDefault="00000000">
      <w:pPr>
        <w:pStyle w:val="ListParagraph"/>
        <w:numPr>
          <w:ilvl w:val="0"/>
          <w:numId w:val="2"/>
        </w:numPr>
        <w:spacing w:before="40" w:after="40"/>
      </w:pPr>
      <w:r>
        <w:t>Copies or citations for the key records located, and recommendations for any further research beyond the initial engagement.</w:t>
      </w:r>
    </w:p>
    <w:p w14:paraId="1B90D025" w14:textId="77777777" w:rsidR="001177BF" w:rsidRDefault="00000000">
      <w:pPr>
        <w:pStyle w:val="Heading2"/>
        <w:pageBreakBefore/>
      </w:pPr>
      <w:r>
        <w:lastRenderedPageBreak/>
        <w:t>7. Scope, hours, and fee</w:t>
      </w:r>
    </w:p>
    <w:p w14:paraId="1D8DD8BC" w14:textId="77777777" w:rsidR="001177BF" w:rsidRDefault="00000000">
      <w:pPr>
        <w:spacing w:before="100" w:after="100"/>
      </w:pPr>
      <w:r>
        <w:t>The initial engagement is a defined block of ten (10) research hours, covering the documentary research, the DNA-match analysis, and the written deliverables described above. Should the research warrant work beyond this initial block, any additional hours will be discussed and agreed with you in advance before they are undertaken.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560"/>
        <w:gridCol w:w="2800"/>
      </w:tblGrid>
      <w:tr w:rsidR="001177BF" w14:paraId="7357E8C0" w14:textId="77777777">
        <w:tblPrEx>
          <w:tblCellMar>
            <w:top w:w="0" w:type="dxa"/>
            <w:bottom w:w="0" w:type="dxa"/>
          </w:tblCellMar>
        </w:tblPrEx>
        <w:trPr>
          <w:tblHeader/>
        </w:trPr>
        <w:tc>
          <w:tcPr>
            <w:tcW w:w="6560" w:type="dxa"/>
            <w:tcBorders>
              <w:top w:val="single" w:sz="1" w:space="0" w:color="BBBBBB"/>
              <w:left w:val="single" w:sz="1" w:space="0" w:color="BBBBBB"/>
              <w:bottom w:val="single" w:sz="1" w:space="0" w:color="BBBBBB"/>
              <w:right w:val="single" w:sz="1" w:space="0" w:color="BBBBBB"/>
            </w:tcBorders>
            <w:shd w:val="clear" w:color="auto" w:fill="E8E4D8"/>
            <w:tcMar>
              <w:top w:w="60" w:type="dxa"/>
              <w:left w:w="120" w:type="dxa"/>
              <w:bottom w:w="60" w:type="dxa"/>
              <w:right w:w="120" w:type="dxa"/>
            </w:tcMar>
            <w:vAlign w:val="center"/>
          </w:tcPr>
          <w:p w14:paraId="65C06E19" w14:textId="77777777" w:rsidR="001177BF" w:rsidRDefault="00000000">
            <w:r>
              <w:rPr>
                <w:b/>
                <w:bCs/>
                <w:sz w:val="21"/>
                <w:szCs w:val="21"/>
              </w:rPr>
              <w:t>Item</w:t>
            </w:r>
          </w:p>
        </w:tc>
        <w:tc>
          <w:tcPr>
            <w:tcW w:w="2800" w:type="dxa"/>
            <w:tcBorders>
              <w:top w:val="single" w:sz="1" w:space="0" w:color="BBBBBB"/>
              <w:left w:val="single" w:sz="1" w:space="0" w:color="BBBBBB"/>
              <w:bottom w:val="single" w:sz="1" w:space="0" w:color="BBBBBB"/>
              <w:right w:val="single" w:sz="1" w:space="0" w:color="BBBBBB"/>
            </w:tcBorders>
            <w:shd w:val="clear" w:color="auto" w:fill="E8E4D8"/>
            <w:tcMar>
              <w:top w:w="60" w:type="dxa"/>
              <w:left w:w="120" w:type="dxa"/>
              <w:bottom w:w="60" w:type="dxa"/>
              <w:right w:w="120" w:type="dxa"/>
            </w:tcMar>
            <w:vAlign w:val="center"/>
          </w:tcPr>
          <w:p w14:paraId="224CB211" w14:textId="77777777" w:rsidR="001177BF" w:rsidRDefault="00000000">
            <w:r>
              <w:rPr>
                <w:b/>
                <w:bCs/>
                <w:sz w:val="21"/>
                <w:szCs w:val="21"/>
              </w:rPr>
              <w:t>Amount</w:t>
            </w:r>
          </w:p>
        </w:tc>
      </w:tr>
      <w:tr w:rsidR="001177BF" w14:paraId="0686412D" w14:textId="77777777">
        <w:tblPrEx>
          <w:tblCellMar>
            <w:top w:w="0" w:type="dxa"/>
            <w:bottom w:w="0" w:type="dxa"/>
          </w:tblCellMar>
        </w:tblPrEx>
        <w:tc>
          <w:tcPr>
            <w:tcW w:w="6560" w:type="dxa"/>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vAlign w:val="center"/>
          </w:tcPr>
          <w:p w14:paraId="0E88FEE5" w14:textId="77777777" w:rsidR="001177BF" w:rsidRDefault="00000000">
            <w:r>
              <w:rPr>
                <w:sz w:val="21"/>
                <w:szCs w:val="21"/>
              </w:rPr>
              <w:t>Initial engagement — 10 research hours (documentary research + autosomal DNA analysis + written report)</w:t>
            </w:r>
          </w:p>
        </w:tc>
        <w:tc>
          <w:tcPr>
            <w:tcW w:w="2800" w:type="dxa"/>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vAlign w:val="center"/>
          </w:tcPr>
          <w:p w14:paraId="38A75575" w14:textId="77777777" w:rsidR="001177BF" w:rsidRDefault="00000000">
            <w:r>
              <w:rPr>
                <w:sz w:val="21"/>
                <w:szCs w:val="21"/>
              </w:rPr>
              <w:t>$500.00</w:t>
            </w:r>
          </w:p>
        </w:tc>
      </w:tr>
      <w:tr w:rsidR="001177BF" w14:paraId="1D4C3671" w14:textId="77777777">
        <w:tblPrEx>
          <w:tblCellMar>
            <w:top w:w="0" w:type="dxa"/>
            <w:bottom w:w="0" w:type="dxa"/>
          </w:tblCellMar>
        </w:tblPrEx>
        <w:tc>
          <w:tcPr>
            <w:tcW w:w="6560" w:type="dxa"/>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vAlign w:val="center"/>
          </w:tcPr>
          <w:p w14:paraId="677EFC64" w14:textId="77777777" w:rsidR="001177BF" w:rsidRDefault="00000000">
            <w:r>
              <w:rPr>
                <w:sz w:val="21"/>
                <w:szCs w:val="21"/>
              </w:rPr>
              <w:t>Total due to begin work</w:t>
            </w:r>
          </w:p>
        </w:tc>
        <w:tc>
          <w:tcPr>
            <w:tcW w:w="2800" w:type="dxa"/>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vAlign w:val="center"/>
          </w:tcPr>
          <w:p w14:paraId="0DA56624" w14:textId="77777777" w:rsidR="001177BF" w:rsidRDefault="00000000">
            <w:r>
              <w:rPr>
                <w:sz w:val="21"/>
                <w:szCs w:val="21"/>
              </w:rPr>
              <w:t>$500.00</w:t>
            </w:r>
          </w:p>
        </w:tc>
      </w:tr>
    </w:tbl>
    <w:p w14:paraId="0FD14BD8" w14:textId="77777777" w:rsidR="001177BF" w:rsidRDefault="00000000">
      <w:pPr>
        <w:pStyle w:val="Heading2"/>
      </w:pPr>
      <w:r>
        <w:t>8. Payment instructions</w:t>
      </w:r>
    </w:p>
    <w:p w14:paraId="6B57592F" w14:textId="77777777" w:rsidR="001177BF" w:rsidRDefault="00000000">
      <w:pPr>
        <w:spacing w:before="100" w:after="100"/>
      </w:pPr>
      <w:r>
        <w:t>Payment of $500.00 secures the initial engagement and authorizes work to begin. Please remit as follows: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1177BF" w14:paraId="205F56A2" w14:textId="77777777">
        <w:tblPrEx>
          <w:tblCellMar>
            <w:top w:w="0" w:type="dxa"/>
            <w:bottom w:w="0" w:type="dxa"/>
          </w:tblCellMar>
        </w:tblPrEx>
        <w:tc>
          <w:tcPr>
            <w:tcW w:w="3000" w:type="dxa"/>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vAlign w:val="center"/>
          </w:tcPr>
          <w:p w14:paraId="1105575D" w14:textId="77777777" w:rsidR="001177BF" w:rsidRDefault="00000000">
            <w:r>
              <w:rPr>
                <w:sz w:val="21"/>
                <w:szCs w:val="21"/>
              </w:rPr>
              <w:t>Method</w:t>
            </w:r>
          </w:p>
        </w:tc>
        <w:tc>
          <w:tcPr>
            <w:tcW w:w="6360" w:type="dxa"/>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vAlign w:val="center"/>
          </w:tcPr>
          <w:p w14:paraId="14F544DC" w14:textId="77777777" w:rsidR="001177BF" w:rsidRDefault="00000000">
            <w:r>
              <w:rPr>
                <w:sz w:val="21"/>
                <w:szCs w:val="21"/>
              </w:rPr>
              <w:t>Zelle</w:t>
            </w:r>
          </w:p>
        </w:tc>
      </w:tr>
      <w:tr w:rsidR="001177BF" w14:paraId="61C320DE" w14:textId="77777777">
        <w:tblPrEx>
          <w:tblCellMar>
            <w:top w:w="0" w:type="dxa"/>
            <w:bottom w:w="0" w:type="dxa"/>
          </w:tblCellMar>
        </w:tblPrEx>
        <w:tc>
          <w:tcPr>
            <w:tcW w:w="3000" w:type="dxa"/>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vAlign w:val="center"/>
          </w:tcPr>
          <w:p w14:paraId="048B4CDD" w14:textId="77777777" w:rsidR="001177BF" w:rsidRDefault="00000000">
            <w:r>
              <w:rPr>
                <w:sz w:val="21"/>
                <w:szCs w:val="21"/>
              </w:rPr>
              <w:t>Bank</w:t>
            </w:r>
          </w:p>
        </w:tc>
        <w:tc>
          <w:tcPr>
            <w:tcW w:w="6360" w:type="dxa"/>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vAlign w:val="center"/>
          </w:tcPr>
          <w:p w14:paraId="6F105CC0" w14:textId="77777777" w:rsidR="001177BF" w:rsidRDefault="00000000">
            <w:r>
              <w:rPr>
                <w:sz w:val="21"/>
                <w:szCs w:val="21"/>
              </w:rPr>
              <w:t>Chase Bank</w:t>
            </w:r>
          </w:p>
        </w:tc>
      </w:tr>
      <w:tr w:rsidR="001177BF" w14:paraId="586ED106" w14:textId="77777777">
        <w:tblPrEx>
          <w:tblCellMar>
            <w:top w:w="0" w:type="dxa"/>
            <w:bottom w:w="0" w:type="dxa"/>
          </w:tblCellMar>
        </w:tblPrEx>
        <w:tc>
          <w:tcPr>
            <w:tcW w:w="3000" w:type="dxa"/>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vAlign w:val="center"/>
          </w:tcPr>
          <w:p w14:paraId="15D0CCE0" w14:textId="77777777" w:rsidR="001177BF" w:rsidRDefault="00000000">
            <w:r>
              <w:rPr>
                <w:sz w:val="21"/>
                <w:szCs w:val="21"/>
              </w:rPr>
              <w:t>Pay to (account name)</w:t>
            </w:r>
          </w:p>
        </w:tc>
        <w:tc>
          <w:tcPr>
            <w:tcW w:w="6360" w:type="dxa"/>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vAlign w:val="center"/>
          </w:tcPr>
          <w:p w14:paraId="06507A41" w14:textId="77777777" w:rsidR="001177BF" w:rsidRDefault="00000000">
            <w:r>
              <w:rPr>
                <w:sz w:val="21"/>
                <w:szCs w:val="21"/>
              </w:rPr>
              <w:t>Reparative Genealogy, LLC</w:t>
            </w:r>
          </w:p>
        </w:tc>
      </w:tr>
      <w:tr w:rsidR="001177BF" w14:paraId="5E2848C3" w14:textId="77777777">
        <w:tblPrEx>
          <w:tblCellMar>
            <w:top w:w="0" w:type="dxa"/>
            <w:bottom w:w="0" w:type="dxa"/>
          </w:tblCellMar>
        </w:tblPrEx>
        <w:tc>
          <w:tcPr>
            <w:tcW w:w="3000" w:type="dxa"/>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vAlign w:val="center"/>
          </w:tcPr>
          <w:p w14:paraId="2E55C2F9" w14:textId="77777777" w:rsidR="001177BF" w:rsidRDefault="00000000">
            <w:r>
              <w:rPr>
                <w:sz w:val="21"/>
                <w:szCs w:val="21"/>
              </w:rPr>
              <w:t>Amount</w:t>
            </w:r>
          </w:p>
        </w:tc>
        <w:tc>
          <w:tcPr>
            <w:tcW w:w="6360" w:type="dxa"/>
            <w:tcBorders>
              <w:top w:val="single" w:sz="1" w:space="0" w:color="BBBBBB"/>
              <w:left w:val="single" w:sz="1" w:space="0" w:color="BBBBBB"/>
              <w:bottom w:val="single" w:sz="1" w:space="0" w:color="BBBBBB"/>
              <w:right w:val="single" w:sz="1" w:space="0" w:color="BBBBBB"/>
            </w:tcBorders>
            <w:tcMar>
              <w:top w:w="60" w:type="dxa"/>
              <w:left w:w="120" w:type="dxa"/>
              <w:bottom w:w="60" w:type="dxa"/>
              <w:right w:w="120" w:type="dxa"/>
            </w:tcMar>
            <w:vAlign w:val="center"/>
          </w:tcPr>
          <w:p w14:paraId="2B25A499" w14:textId="77777777" w:rsidR="001177BF" w:rsidRDefault="00000000">
            <w:r>
              <w:rPr>
                <w:sz w:val="21"/>
                <w:szCs w:val="21"/>
              </w:rPr>
              <w:t>$500.00</w:t>
            </w:r>
          </w:p>
        </w:tc>
      </w:tr>
    </w:tbl>
    <w:p w14:paraId="4A7C501C" w14:textId="77777777" w:rsidR="001177BF" w:rsidRDefault="00000000">
      <w:pPr>
        <w:spacing w:before="100" w:after="100"/>
      </w:pPr>
      <w:r>
        <w:rPr>
          <w:i/>
          <w:iCs/>
        </w:rPr>
        <w:t>Once payment is received and the acknowledgment below is signed, the research will commence.</w:t>
      </w:r>
    </w:p>
    <w:p w14:paraId="1E1A11E6" w14:textId="77777777" w:rsidR="001177BF" w:rsidRDefault="00000000">
      <w:pPr>
        <w:pStyle w:val="Heading2"/>
        <w:pageBreakBefore/>
      </w:pPr>
      <w:r>
        <w:lastRenderedPageBreak/>
        <w:t>9. Client acknowledgment and authorization</w:t>
      </w:r>
    </w:p>
    <w:p w14:paraId="692D6238" w14:textId="77777777" w:rsidR="001177BF" w:rsidRDefault="00000000">
      <w:pPr>
        <w:spacing w:before="100" w:after="100"/>
      </w:pPr>
      <w:r>
        <w:t xml:space="preserve">By signing below, I authorize Reparative </w:t>
      </w:r>
      <w:proofErr w:type="gramStart"/>
      <w:r>
        <w:t>Genealogy,</w:t>
      </w:r>
      <w:proofErr w:type="gramEnd"/>
      <w:r>
        <w:t xml:space="preserve"> LLC to undertake the research described in this proposal, and I confirm my agreement to the initial ten-hour engagement at the fee stated above.</w:t>
      </w:r>
    </w:p>
    <w:p w14:paraId="0D1DEAFE" w14:textId="77777777" w:rsidR="001177BF" w:rsidRDefault="00000000">
      <w:pPr>
        <w:spacing w:before="320"/>
      </w:pPr>
      <w:r>
        <w:t>_____________________________________________</w:t>
      </w:r>
    </w:p>
    <w:p w14:paraId="4FCCD449" w14:textId="77777777" w:rsidR="001177BF" w:rsidRDefault="00000000">
      <w:pPr>
        <w:spacing w:after="200"/>
      </w:pPr>
      <w:r>
        <w:rPr>
          <w:color w:val="555555"/>
          <w:sz w:val="20"/>
          <w:szCs w:val="20"/>
        </w:rPr>
        <w:t>Client signature — Donna Jerrie Stewart                         Date</w:t>
      </w:r>
    </w:p>
    <w:p w14:paraId="7FF8CF54" w14:textId="77777777" w:rsidR="001177BF" w:rsidRDefault="00000000">
      <w:pPr>
        <w:spacing w:before="200"/>
      </w:pPr>
      <w:r>
        <w:t>_____________________________________________</w:t>
      </w:r>
    </w:p>
    <w:p w14:paraId="0736CF6B" w14:textId="77777777" w:rsidR="001177BF" w:rsidRDefault="00000000">
      <w:r>
        <w:rPr>
          <w:color w:val="555555"/>
          <w:sz w:val="20"/>
          <w:szCs w:val="20"/>
        </w:rPr>
        <w:t>For Reparative Genealogy, LLC                                        Date</w:t>
      </w:r>
    </w:p>
    <w:p w14:paraId="5CBFDFC3" w14:textId="77777777" w:rsidR="001177BF" w:rsidRDefault="00000000">
      <w:pPr>
        <w:spacing w:before="320"/>
        <w:jc w:val="center"/>
      </w:pPr>
      <w:r>
        <w:rPr>
          <w:i/>
          <w:iCs/>
          <w:color w:val="2E5B88"/>
        </w:rPr>
        <w:t>Thank you for the opportunity to help recover your family's history.</w:t>
      </w:r>
    </w:p>
    <w:sectPr w:rsidR="001177BF">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20DDC"/>
    <w:multiLevelType w:val="hybridMultilevel"/>
    <w:tmpl w:val="BF744C08"/>
    <w:lvl w:ilvl="0" w:tplc="3706581C">
      <w:start w:val="1"/>
      <w:numFmt w:val="bullet"/>
      <w:lvlText w:val="•"/>
      <w:lvlJc w:val="left"/>
      <w:pPr>
        <w:ind w:left="620" w:hanging="320"/>
      </w:pPr>
    </w:lvl>
    <w:lvl w:ilvl="1" w:tplc="C67C3626">
      <w:numFmt w:val="decimal"/>
      <w:lvlText w:val=""/>
      <w:lvlJc w:val="left"/>
    </w:lvl>
    <w:lvl w:ilvl="2" w:tplc="A112D500">
      <w:numFmt w:val="decimal"/>
      <w:lvlText w:val=""/>
      <w:lvlJc w:val="left"/>
    </w:lvl>
    <w:lvl w:ilvl="3" w:tplc="FC84DFE8">
      <w:numFmt w:val="decimal"/>
      <w:lvlText w:val=""/>
      <w:lvlJc w:val="left"/>
    </w:lvl>
    <w:lvl w:ilvl="4" w:tplc="866A3548">
      <w:numFmt w:val="decimal"/>
      <w:lvlText w:val=""/>
      <w:lvlJc w:val="left"/>
    </w:lvl>
    <w:lvl w:ilvl="5" w:tplc="9AAE6D4C">
      <w:numFmt w:val="decimal"/>
      <w:lvlText w:val=""/>
      <w:lvlJc w:val="left"/>
    </w:lvl>
    <w:lvl w:ilvl="6" w:tplc="75863A64">
      <w:numFmt w:val="decimal"/>
      <w:lvlText w:val=""/>
      <w:lvlJc w:val="left"/>
    </w:lvl>
    <w:lvl w:ilvl="7" w:tplc="5A803B04">
      <w:numFmt w:val="decimal"/>
      <w:lvlText w:val=""/>
      <w:lvlJc w:val="left"/>
    </w:lvl>
    <w:lvl w:ilvl="8" w:tplc="638674F2">
      <w:numFmt w:val="decimal"/>
      <w:lvlText w:val=""/>
      <w:lvlJc w:val="left"/>
    </w:lvl>
  </w:abstractNum>
  <w:abstractNum w:abstractNumId="1" w15:restartNumberingAfterBreak="0">
    <w:nsid w:val="1CC44BE4"/>
    <w:multiLevelType w:val="hybridMultilevel"/>
    <w:tmpl w:val="548AB250"/>
    <w:lvl w:ilvl="0" w:tplc="44480CE8">
      <w:start w:val="1"/>
      <w:numFmt w:val="decimal"/>
      <w:lvlText w:val="%1."/>
      <w:lvlJc w:val="left"/>
      <w:pPr>
        <w:ind w:left="620" w:hanging="320"/>
      </w:pPr>
    </w:lvl>
    <w:lvl w:ilvl="1" w:tplc="82FC92D2">
      <w:numFmt w:val="decimal"/>
      <w:lvlText w:val=""/>
      <w:lvlJc w:val="left"/>
    </w:lvl>
    <w:lvl w:ilvl="2" w:tplc="FCA2690E">
      <w:numFmt w:val="decimal"/>
      <w:lvlText w:val=""/>
      <w:lvlJc w:val="left"/>
    </w:lvl>
    <w:lvl w:ilvl="3" w:tplc="AE4043AE">
      <w:numFmt w:val="decimal"/>
      <w:lvlText w:val=""/>
      <w:lvlJc w:val="left"/>
    </w:lvl>
    <w:lvl w:ilvl="4" w:tplc="F2483AB0">
      <w:numFmt w:val="decimal"/>
      <w:lvlText w:val=""/>
      <w:lvlJc w:val="left"/>
    </w:lvl>
    <w:lvl w:ilvl="5" w:tplc="EDE4039C">
      <w:numFmt w:val="decimal"/>
      <w:lvlText w:val=""/>
      <w:lvlJc w:val="left"/>
    </w:lvl>
    <w:lvl w:ilvl="6" w:tplc="CBCE3B4C">
      <w:numFmt w:val="decimal"/>
      <w:lvlText w:val=""/>
      <w:lvlJc w:val="left"/>
    </w:lvl>
    <w:lvl w:ilvl="7" w:tplc="5A28394A">
      <w:numFmt w:val="decimal"/>
      <w:lvlText w:val=""/>
      <w:lvlJc w:val="left"/>
    </w:lvl>
    <w:lvl w:ilvl="8" w:tplc="58760DD8">
      <w:numFmt w:val="decimal"/>
      <w:lvlText w:val=""/>
      <w:lvlJc w:val="left"/>
    </w:lvl>
  </w:abstractNum>
  <w:abstractNum w:abstractNumId="2" w15:restartNumberingAfterBreak="0">
    <w:nsid w:val="6F0F4FFA"/>
    <w:multiLevelType w:val="hybridMultilevel"/>
    <w:tmpl w:val="CD76CD96"/>
    <w:lvl w:ilvl="0" w:tplc="AA0C3B9C">
      <w:start w:val="1"/>
      <w:numFmt w:val="bullet"/>
      <w:lvlText w:val="●"/>
      <w:lvlJc w:val="left"/>
      <w:pPr>
        <w:ind w:left="720" w:hanging="360"/>
      </w:pPr>
    </w:lvl>
    <w:lvl w:ilvl="1" w:tplc="21F892D0">
      <w:start w:val="1"/>
      <w:numFmt w:val="bullet"/>
      <w:lvlText w:val="○"/>
      <w:lvlJc w:val="left"/>
      <w:pPr>
        <w:ind w:left="1440" w:hanging="360"/>
      </w:pPr>
    </w:lvl>
    <w:lvl w:ilvl="2" w:tplc="CE96FA2C">
      <w:start w:val="1"/>
      <w:numFmt w:val="bullet"/>
      <w:lvlText w:val="■"/>
      <w:lvlJc w:val="left"/>
      <w:pPr>
        <w:ind w:left="2160" w:hanging="360"/>
      </w:pPr>
    </w:lvl>
    <w:lvl w:ilvl="3" w:tplc="FCEA4816">
      <w:start w:val="1"/>
      <w:numFmt w:val="bullet"/>
      <w:lvlText w:val="●"/>
      <w:lvlJc w:val="left"/>
      <w:pPr>
        <w:ind w:left="2880" w:hanging="360"/>
      </w:pPr>
    </w:lvl>
    <w:lvl w:ilvl="4" w:tplc="06900826">
      <w:start w:val="1"/>
      <w:numFmt w:val="bullet"/>
      <w:lvlText w:val="○"/>
      <w:lvlJc w:val="left"/>
      <w:pPr>
        <w:ind w:left="3600" w:hanging="360"/>
      </w:pPr>
    </w:lvl>
    <w:lvl w:ilvl="5" w:tplc="13483928">
      <w:start w:val="1"/>
      <w:numFmt w:val="bullet"/>
      <w:lvlText w:val="■"/>
      <w:lvlJc w:val="left"/>
      <w:pPr>
        <w:ind w:left="4320" w:hanging="360"/>
      </w:pPr>
    </w:lvl>
    <w:lvl w:ilvl="6" w:tplc="401037FE">
      <w:start w:val="1"/>
      <w:numFmt w:val="bullet"/>
      <w:lvlText w:val="●"/>
      <w:lvlJc w:val="left"/>
      <w:pPr>
        <w:ind w:left="5040" w:hanging="360"/>
      </w:pPr>
    </w:lvl>
    <w:lvl w:ilvl="7" w:tplc="6C38F872">
      <w:start w:val="1"/>
      <w:numFmt w:val="bullet"/>
      <w:lvlText w:val="●"/>
      <w:lvlJc w:val="left"/>
      <w:pPr>
        <w:ind w:left="5760" w:hanging="360"/>
      </w:pPr>
    </w:lvl>
    <w:lvl w:ilvl="8" w:tplc="AF6EB804">
      <w:start w:val="1"/>
      <w:numFmt w:val="bullet"/>
      <w:lvlText w:val="●"/>
      <w:lvlJc w:val="left"/>
      <w:pPr>
        <w:ind w:left="6480" w:hanging="360"/>
      </w:pPr>
    </w:lvl>
  </w:abstractNum>
  <w:num w:numId="1" w16cid:durableId="1738165767">
    <w:abstractNumId w:val="2"/>
    <w:lvlOverride w:ilvl="0">
      <w:startOverride w:val="1"/>
    </w:lvlOverride>
  </w:num>
  <w:num w:numId="2" w16cid:durableId="297807320">
    <w:abstractNumId w:val="0"/>
    <w:lvlOverride w:ilvl="0">
      <w:startOverride w:val="1"/>
    </w:lvlOverride>
  </w:num>
  <w:num w:numId="3" w16cid:durableId="32258306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7BF"/>
    <w:rsid w:val="001177BF"/>
    <w:rsid w:val="004D1227"/>
    <w:rsid w:val="008823DE"/>
    <w:rsid w:val="009F32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4889C"/>
  <w15:docId w15:val="{C24135AD-115F-422E-9870-44BFE9719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60"/>
      <w:outlineLvl w:val="0"/>
    </w:pPr>
    <w:rPr>
      <w:b/>
      <w:bCs/>
      <w:sz w:val="30"/>
      <w:szCs w:val="30"/>
    </w:rPr>
  </w:style>
  <w:style w:type="paragraph" w:styleId="Heading2">
    <w:name w:val="heading 2"/>
    <w:uiPriority w:val="9"/>
    <w:unhideWhenUsed/>
    <w:qFormat/>
    <w:pPr>
      <w:spacing w:before="280" w:after="140"/>
      <w:outlineLvl w:val="1"/>
    </w:pPr>
    <w:rPr>
      <w:b/>
      <w:bCs/>
      <w:color w:val="2E5B88"/>
      <w:sz w:val="25"/>
      <w:szCs w:val="25"/>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1577</Words>
  <Characters>8993</Characters>
  <Application>Microsoft Office Word</Application>
  <DocSecurity>0</DocSecurity>
  <Lines>74</Lines>
  <Paragraphs>21</Paragraphs>
  <ScaleCrop>false</ScaleCrop>
  <Company/>
  <LinksUpToDate>false</LinksUpToDate>
  <CharactersWithSpaces>10549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Kellie Farrish</cp:lastModifiedBy>
  <cp:revision>3</cp:revision>
  <dcterms:created xsi:type="dcterms:W3CDTF">2026-07-07T19:37:00Z</dcterms:created>
  <dcterms:modified xsi:type="dcterms:W3CDTF">2026-07-07T19:44:00Z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c0afd50c-7e5a-4f5a-87e5-44afc9f1b4b3</vt:lpwstr>
  </property>
</Properties>
</file>